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C9F0" w14:textId="198B117F" w:rsidR="00FA4C4F" w:rsidRDefault="00FA4C4F" w:rsidP="00B305BE">
      <w:pPr>
        <w:pStyle w:val="Heading1"/>
        <w:spacing w:before="0"/>
      </w:pPr>
      <w:r>
        <w:t xml:space="preserve">Aging and the ADA: </w:t>
      </w:r>
      <w:r>
        <w:br/>
        <w:t>Why You Should Care About the Americans with Disabilities Act</w:t>
      </w:r>
    </w:p>
    <w:p w14:paraId="6A6BC59D" w14:textId="072AEACA" w:rsidR="00FA4C4F" w:rsidRDefault="00B305BE" w:rsidP="00FA4C4F">
      <w:r>
        <w:rPr>
          <w:noProof/>
        </w:rPr>
        <w:drawing>
          <wp:anchor distT="0" distB="0" distL="114300" distR="114300" simplePos="0" relativeHeight="251662336" behindDoc="1" locked="0" layoutInCell="1" allowOverlap="1" wp14:anchorId="22BD8A57" wp14:editId="258D675E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223456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61" y="21323"/>
                <wp:lineTo x="21361" y="0"/>
                <wp:lineTo x="0" y="0"/>
              </wp:wrapPolygon>
            </wp:wrapTight>
            <wp:docPr id="3" name="Picture 3" descr="a gruop of older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lder peo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C4F">
        <w:t xml:space="preserve">The Americans with Disabilities Act (ADA) is a civil rights law designed to protect people with disabilities from discrimination in </w:t>
      </w:r>
      <w:r w:rsidR="003D4950">
        <w:t>several</w:t>
      </w:r>
      <w:r w:rsidR="00FA4C4F">
        <w:t xml:space="preserve"> settings</w:t>
      </w:r>
      <w:r w:rsidR="0013273B">
        <w:t>, including:</w:t>
      </w:r>
    </w:p>
    <w:p w14:paraId="4389188A" w14:textId="73EAFF67" w:rsidR="0013273B" w:rsidRDefault="0013273B" w:rsidP="0013273B">
      <w:pPr>
        <w:pStyle w:val="ListParagraph"/>
        <w:numPr>
          <w:ilvl w:val="0"/>
          <w:numId w:val="1"/>
        </w:numPr>
      </w:pPr>
      <w:r>
        <w:t>Many workplaces</w:t>
      </w:r>
    </w:p>
    <w:p w14:paraId="7D7F2D50" w14:textId="77777777" w:rsidR="0013273B" w:rsidRDefault="0013273B" w:rsidP="0013273B">
      <w:pPr>
        <w:pStyle w:val="ListParagraph"/>
        <w:numPr>
          <w:ilvl w:val="0"/>
          <w:numId w:val="1"/>
        </w:numPr>
      </w:pPr>
      <w:r>
        <w:t>All state and local government programs</w:t>
      </w:r>
    </w:p>
    <w:p w14:paraId="12FA4556" w14:textId="77777777" w:rsidR="0013273B" w:rsidRDefault="0013273B" w:rsidP="0013273B">
      <w:pPr>
        <w:pStyle w:val="ListParagraph"/>
        <w:numPr>
          <w:ilvl w:val="0"/>
          <w:numId w:val="1"/>
        </w:numPr>
      </w:pPr>
      <w:r>
        <w:t>A wide variety of businesses</w:t>
      </w:r>
    </w:p>
    <w:p w14:paraId="26429DAE" w14:textId="77777777" w:rsidR="00FA4C4F" w:rsidRDefault="00FA4C4F" w:rsidP="00FA4C4F">
      <w:pPr>
        <w:pStyle w:val="Heading2"/>
      </w:pPr>
      <w:r>
        <w:t>What is Disability?</w:t>
      </w:r>
    </w:p>
    <w:p w14:paraId="64A7E0D8" w14:textId="77777777" w:rsidR="0013273B" w:rsidRDefault="0013273B" w:rsidP="00FA4C4F">
      <w:r>
        <w:t>The ADA’s definition of disability is very broad, and includes a wide range of ph</w:t>
      </w:r>
      <w:bookmarkStart w:id="0" w:name="_GoBack"/>
      <w:bookmarkEnd w:id="0"/>
      <w:r>
        <w:t xml:space="preserve">ysical and mental impairments that “substantially limit” major life activities such as walking, speaking, seeing, breathing, learning, concentrating, interacting with others, caring for oneself, and </w:t>
      </w:r>
      <w:r w:rsidR="003D4950">
        <w:t>many</w:t>
      </w:r>
      <w:r>
        <w:t xml:space="preserve"> other physical and mental functions.</w:t>
      </w:r>
    </w:p>
    <w:p w14:paraId="4B384706" w14:textId="2E598DD3" w:rsidR="009C7BF9" w:rsidRDefault="0013273B" w:rsidP="00FA4C4F">
      <w:r>
        <w:t xml:space="preserve">Many people think the ADA is all about building ramps </w:t>
      </w:r>
      <w:r w:rsidR="00B305BE">
        <w:t xml:space="preserve">and making buildings more accessible </w:t>
      </w:r>
      <w:r>
        <w:t>for people who use wheelchairs, but it</w:t>
      </w:r>
      <w:r w:rsidR="00C24655">
        <w:t>’</w:t>
      </w:r>
      <w:r>
        <w:t xml:space="preserve">s </w:t>
      </w:r>
      <w:r w:rsidR="009C7BF9">
        <w:t xml:space="preserve">about </w:t>
      </w:r>
      <w:r>
        <w:t xml:space="preserve">much more than that! </w:t>
      </w:r>
    </w:p>
    <w:p w14:paraId="49098879" w14:textId="77777777" w:rsidR="00FA4C4F" w:rsidRDefault="009C7BF9" w:rsidP="009C7BF9">
      <w:pPr>
        <w:pStyle w:val="Heading3"/>
      </w:pPr>
      <w:r>
        <w:t>Disability Often Comes with Age</w:t>
      </w:r>
      <w:r w:rsidR="0013273B">
        <w:t xml:space="preserve"> </w:t>
      </w:r>
    </w:p>
    <w:p w14:paraId="0DC554E4" w14:textId="77777777" w:rsidR="009C7BF9" w:rsidRDefault="009C7BF9" w:rsidP="009C7BF9">
      <w:r>
        <w:t xml:space="preserve">Hearing and vision loss, arthritis, heart conditions, hypertension, diabetes, and dementia are </w:t>
      </w:r>
      <w:r w:rsidR="007403F4">
        <w:t>common</w:t>
      </w:r>
      <w:r>
        <w:t xml:space="preserve"> conditions that may </w:t>
      </w:r>
      <w:r w:rsidR="00CE3726">
        <w:t xml:space="preserve">develop or worsen as we age and lead to disability. </w:t>
      </w:r>
      <w:r w:rsidR="00350525">
        <w:t>Research</w:t>
      </w:r>
      <w:r w:rsidR="00CE3726">
        <w:t xml:space="preserve"> indicate</w:t>
      </w:r>
      <w:r w:rsidR="00350525">
        <w:t>s</w:t>
      </w:r>
      <w:r w:rsidR="00CE3726">
        <w:t>:</w:t>
      </w:r>
    </w:p>
    <w:p w14:paraId="66565484" w14:textId="77777777" w:rsidR="00CE3726" w:rsidRDefault="00E960EC" w:rsidP="004760AF">
      <w:pPr>
        <w:pStyle w:val="ListParagraph"/>
        <w:numPr>
          <w:ilvl w:val="0"/>
          <w:numId w:val="3"/>
        </w:numPr>
      </w:pPr>
      <w:r>
        <w:t>Average life expectancy has increased dramatically in the last century, rising from only about 50 to nearly 77 years of age.</w:t>
      </w:r>
      <w:r w:rsidR="00A11333" w:rsidRPr="004760AF">
        <w:rPr>
          <w:vertAlign w:val="superscript"/>
        </w:rPr>
        <w:t>1</w:t>
      </w:r>
      <w:r>
        <w:t xml:space="preserve"> </w:t>
      </w:r>
    </w:p>
    <w:p w14:paraId="18F533CE" w14:textId="77777777" w:rsidR="004760AF" w:rsidRDefault="00E960EC" w:rsidP="004760AF">
      <w:pPr>
        <w:pStyle w:val="ListParagraph"/>
        <w:numPr>
          <w:ilvl w:val="0"/>
          <w:numId w:val="3"/>
        </w:numPr>
      </w:pPr>
      <w:r>
        <w:t>Life expectancy for those who have reached adulthood is even greater; an individual who is 65 years old now has a good chance of reaching 85.</w:t>
      </w:r>
      <w:r w:rsidR="00A11333" w:rsidRPr="004760AF">
        <w:rPr>
          <w:vertAlign w:val="superscript"/>
        </w:rPr>
        <w:t>2</w:t>
      </w:r>
      <w:r w:rsidR="004760AF">
        <w:t xml:space="preserve"> </w:t>
      </w:r>
    </w:p>
    <w:p w14:paraId="11D1363D" w14:textId="77777777" w:rsidR="00E960EC" w:rsidRPr="004760AF" w:rsidRDefault="007403F4" w:rsidP="004760AF">
      <w:pPr>
        <w:pStyle w:val="ListParagraph"/>
        <w:numPr>
          <w:ilvl w:val="0"/>
          <w:numId w:val="3"/>
        </w:numPr>
      </w:pPr>
      <w:r>
        <w:t xml:space="preserve">About </w:t>
      </w:r>
      <w:r w:rsidR="007B4FBB">
        <w:t>10</w:t>
      </w:r>
      <w:r w:rsidR="00054601">
        <w:t>%</w:t>
      </w:r>
      <w:r>
        <w:t xml:space="preserve"> of young adults ha</w:t>
      </w:r>
      <w:r w:rsidR="00054601">
        <w:t>ve</w:t>
      </w:r>
      <w:r>
        <w:t xml:space="preserve"> disabilit</w:t>
      </w:r>
      <w:r w:rsidR="00D40644">
        <w:t>ies</w:t>
      </w:r>
      <w:r w:rsidR="00054601">
        <w:t xml:space="preserve">; </w:t>
      </w:r>
      <w:r w:rsidR="00D40644">
        <w:t>by the time people reach the age of 55, that percentage nearly triples, and by age 75 it increases more than five-fold</w:t>
      </w:r>
      <w:r w:rsidR="00054601">
        <w:t>.</w:t>
      </w:r>
      <w:r w:rsidR="00A11333" w:rsidRPr="004760AF">
        <w:rPr>
          <w:vertAlign w:val="superscript"/>
        </w:rPr>
        <w:t>3</w:t>
      </w:r>
    </w:p>
    <w:p w14:paraId="221A71D1" w14:textId="77777777" w:rsidR="004760AF" w:rsidRPr="00350525" w:rsidRDefault="004760AF" w:rsidP="009C7BF9">
      <w:pPr>
        <w:rPr>
          <w:rStyle w:val="Strong"/>
        </w:rPr>
      </w:pPr>
      <w:r w:rsidRPr="00350525">
        <w:rPr>
          <w:rStyle w:val="Strong"/>
        </w:rPr>
        <w:t>We are living longer</w:t>
      </w:r>
      <w:r w:rsidR="00350525">
        <w:rPr>
          <w:rStyle w:val="Strong"/>
        </w:rPr>
        <w:t xml:space="preserve"> than ever</w:t>
      </w:r>
      <w:r w:rsidRPr="00350525">
        <w:rPr>
          <w:rStyle w:val="Strong"/>
        </w:rPr>
        <w:t xml:space="preserve">, and </w:t>
      </w:r>
      <w:r w:rsidR="00350525">
        <w:rPr>
          <w:rStyle w:val="Strong"/>
        </w:rPr>
        <w:t xml:space="preserve">that means </w:t>
      </w:r>
      <w:r w:rsidRPr="00350525">
        <w:rPr>
          <w:rStyle w:val="Strong"/>
        </w:rPr>
        <w:t xml:space="preserve">we are living longer </w:t>
      </w:r>
      <w:r w:rsidRPr="00350525">
        <w:rPr>
          <w:rStyle w:val="Strong"/>
          <w:i/>
        </w:rPr>
        <w:t>with disability</w:t>
      </w:r>
      <w:r w:rsidR="00350525" w:rsidRPr="00350525">
        <w:rPr>
          <w:rStyle w:val="Strong"/>
        </w:rPr>
        <w:t>.</w:t>
      </w:r>
    </w:p>
    <w:p w14:paraId="6B8D267B" w14:textId="77777777" w:rsidR="00E960EC" w:rsidRDefault="00350525" w:rsidP="009C7B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9CBEA" wp14:editId="0B10C92C">
                <wp:simplePos x="0" y="0"/>
                <wp:positionH relativeFrom="column">
                  <wp:posOffset>9525</wp:posOffset>
                </wp:positionH>
                <wp:positionV relativeFrom="paragraph">
                  <wp:posOffset>112395</wp:posOffset>
                </wp:positionV>
                <wp:extent cx="64008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A58D23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8.85pt" to="504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" strokecolor="#1f4d78 [1604]" strokeweight=".5pt">
                <v:stroke joinstyle="miter"/>
              </v:line>
            </w:pict>
          </mc:Fallback>
        </mc:AlternateContent>
      </w:r>
    </w:p>
    <w:p w14:paraId="210A286F" w14:textId="77777777" w:rsidR="00E960EC" w:rsidRPr="004760AF" w:rsidRDefault="00E960EC" w:rsidP="00222D56">
      <w:pPr>
        <w:spacing w:after="80"/>
        <w:rPr>
          <w:sz w:val="24"/>
          <w:szCs w:val="24"/>
        </w:rPr>
      </w:pPr>
      <w:r w:rsidRPr="004760AF">
        <w:rPr>
          <w:sz w:val="24"/>
          <w:szCs w:val="24"/>
          <w:vertAlign w:val="superscript"/>
        </w:rPr>
        <w:t>1</w:t>
      </w:r>
      <w:r w:rsidRPr="004760AF">
        <w:rPr>
          <w:sz w:val="24"/>
          <w:szCs w:val="24"/>
        </w:rPr>
        <w:t xml:space="preserve"> Centers for Disease Control and Prevention, National Center for Health Statistics, </w:t>
      </w:r>
      <w:r w:rsidRPr="004760AF">
        <w:rPr>
          <w:i/>
          <w:sz w:val="24"/>
          <w:szCs w:val="24"/>
        </w:rPr>
        <w:t>Health, United States, 2015</w:t>
      </w:r>
      <w:r w:rsidRPr="004760AF">
        <w:rPr>
          <w:sz w:val="24"/>
          <w:szCs w:val="24"/>
        </w:rPr>
        <w:t xml:space="preserve"> (</w:t>
      </w:r>
      <w:hyperlink r:id="rId6" w:history="1">
        <w:r w:rsidRPr="004760AF">
          <w:rPr>
            <w:rStyle w:val="Hyperlink"/>
            <w:sz w:val="24"/>
            <w:szCs w:val="24"/>
          </w:rPr>
          <w:t>http://www.cdc.gov/nchs/data/hus/hus15.pdf</w:t>
        </w:r>
      </w:hyperlink>
      <w:r w:rsidRPr="004760AF">
        <w:rPr>
          <w:sz w:val="24"/>
          <w:szCs w:val="24"/>
        </w:rPr>
        <w:t xml:space="preserve">) </w:t>
      </w:r>
    </w:p>
    <w:p w14:paraId="1DBDE598" w14:textId="77777777" w:rsidR="00E960EC" w:rsidRPr="004760AF" w:rsidRDefault="00E960EC" w:rsidP="00222D56">
      <w:pPr>
        <w:spacing w:after="80"/>
        <w:rPr>
          <w:sz w:val="24"/>
          <w:szCs w:val="24"/>
        </w:rPr>
      </w:pPr>
      <w:r w:rsidRPr="004760AF">
        <w:rPr>
          <w:sz w:val="24"/>
          <w:szCs w:val="24"/>
          <w:vertAlign w:val="superscript"/>
        </w:rPr>
        <w:t>2</w:t>
      </w:r>
      <w:r w:rsidRPr="004760AF">
        <w:rPr>
          <w:sz w:val="24"/>
          <w:szCs w:val="24"/>
        </w:rPr>
        <w:t xml:space="preserve"> Social Security Administration, </w:t>
      </w:r>
      <w:r w:rsidRPr="004760AF">
        <w:rPr>
          <w:i/>
          <w:iCs/>
          <w:sz w:val="24"/>
          <w:szCs w:val="24"/>
        </w:rPr>
        <w:t xml:space="preserve">The 2015 Annual Report of the Board of Trustees of the Federal Old-Age and Survivors Insurance and Federal Disability Insurance Trust Funds </w:t>
      </w:r>
      <w:r w:rsidRPr="004760AF">
        <w:rPr>
          <w:iCs/>
          <w:sz w:val="24"/>
          <w:szCs w:val="24"/>
        </w:rPr>
        <w:t>(</w:t>
      </w:r>
      <w:hyperlink r:id="rId7" w:history="1">
        <w:r w:rsidRPr="004760AF">
          <w:rPr>
            <w:rStyle w:val="Hyperlink"/>
            <w:iCs/>
            <w:sz w:val="24"/>
            <w:szCs w:val="24"/>
          </w:rPr>
          <w:t>https://www.ssa.gov/oact/tr/2015/index.html</w:t>
        </w:r>
      </w:hyperlink>
      <w:r w:rsidRPr="004760AF">
        <w:rPr>
          <w:iCs/>
          <w:sz w:val="24"/>
          <w:szCs w:val="24"/>
        </w:rPr>
        <w:t xml:space="preserve">) </w:t>
      </w:r>
    </w:p>
    <w:p w14:paraId="191DC5B3" w14:textId="77777777" w:rsidR="00E960EC" w:rsidRPr="004760AF" w:rsidRDefault="00A11333" w:rsidP="00222D56">
      <w:pPr>
        <w:spacing w:after="80"/>
        <w:rPr>
          <w:sz w:val="24"/>
          <w:szCs w:val="24"/>
        </w:rPr>
      </w:pPr>
      <w:r w:rsidRPr="004760AF">
        <w:rPr>
          <w:sz w:val="24"/>
          <w:szCs w:val="24"/>
          <w:vertAlign w:val="superscript"/>
        </w:rPr>
        <w:t>3</w:t>
      </w:r>
      <w:r w:rsidRPr="004760AF">
        <w:rPr>
          <w:sz w:val="24"/>
          <w:szCs w:val="24"/>
        </w:rPr>
        <w:t xml:space="preserve"> </w:t>
      </w:r>
      <w:r w:rsidR="004760AF" w:rsidRPr="004760AF">
        <w:rPr>
          <w:sz w:val="24"/>
          <w:szCs w:val="24"/>
        </w:rPr>
        <w:t>U.S. Census Bureau</w:t>
      </w:r>
      <w:r w:rsidR="005237C3">
        <w:rPr>
          <w:sz w:val="24"/>
          <w:szCs w:val="24"/>
        </w:rPr>
        <w:t xml:space="preserve">, </w:t>
      </w:r>
      <w:r w:rsidR="005237C3" w:rsidRPr="005237C3">
        <w:rPr>
          <w:i/>
          <w:sz w:val="24"/>
          <w:szCs w:val="24"/>
        </w:rPr>
        <w:t>Americans with Disabilities: 2010</w:t>
      </w:r>
      <w:r w:rsidR="005237C3">
        <w:rPr>
          <w:sz w:val="24"/>
          <w:szCs w:val="24"/>
        </w:rPr>
        <w:t xml:space="preserve"> (</w:t>
      </w:r>
      <w:hyperlink r:id="rId8" w:history="1">
        <w:r w:rsidR="005237C3" w:rsidRPr="009D447B">
          <w:rPr>
            <w:rStyle w:val="Hyperlink"/>
            <w:sz w:val="24"/>
            <w:szCs w:val="24"/>
          </w:rPr>
          <w:t>http://www.census.gov/prod/2012pubs/p70-131.pdf</w:t>
        </w:r>
      </w:hyperlink>
      <w:r w:rsidR="005237C3">
        <w:rPr>
          <w:sz w:val="24"/>
          <w:szCs w:val="24"/>
        </w:rPr>
        <w:t xml:space="preserve">) </w:t>
      </w:r>
    </w:p>
    <w:p w14:paraId="26361076" w14:textId="77777777" w:rsidR="004760AF" w:rsidRDefault="007403F4" w:rsidP="00AD7BAE">
      <w:pPr>
        <w:pStyle w:val="Heading2"/>
      </w:pPr>
      <w:r>
        <w:lastRenderedPageBreak/>
        <w:t>ADA: Access and Accommodation</w:t>
      </w:r>
    </w:p>
    <w:p w14:paraId="03224DB2" w14:textId="77777777" w:rsidR="008805DA" w:rsidRDefault="003C5516" w:rsidP="00FA4C4F">
      <w:r>
        <w:t>More and more p</w:t>
      </w:r>
      <w:r w:rsidR="005237C3">
        <w:t>eople are work</w:t>
      </w:r>
      <w:r>
        <w:t>ing</w:t>
      </w:r>
      <w:r w:rsidR="005237C3">
        <w:t xml:space="preserve"> </w:t>
      </w:r>
      <w:r>
        <w:t>well past traditional retirement age, and</w:t>
      </w:r>
      <w:r w:rsidR="005237C3">
        <w:t xml:space="preserve"> remain</w:t>
      </w:r>
      <w:r>
        <w:t>ing</w:t>
      </w:r>
      <w:r w:rsidR="005237C3">
        <w:t xml:space="preserve"> active </w:t>
      </w:r>
      <w:r>
        <w:t xml:space="preserve">in their communities </w:t>
      </w:r>
      <w:r w:rsidR="00CE7E1D">
        <w:t xml:space="preserve">well into their </w:t>
      </w:r>
      <w:r w:rsidR="003D5902">
        <w:t>seventies</w:t>
      </w:r>
      <w:r w:rsidR="00CE7E1D">
        <w:t xml:space="preserve"> and beyond</w:t>
      </w:r>
      <w:r>
        <w:t>.</w:t>
      </w:r>
      <w:r w:rsidR="00AD7BAE">
        <w:t xml:space="preserve"> </w:t>
      </w:r>
      <w:r w:rsidR="00413838">
        <w:t xml:space="preserve">Because of the ADA, </w:t>
      </w:r>
      <w:r w:rsidR="00AD7BAE">
        <w:t xml:space="preserve">people </w:t>
      </w:r>
      <w:r w:rsidR="00413838">
        <w:t xml:space="preserve">may be entitled to </w:t>
      </w:r>
      <w:r w:rsidR="003D5902">
        <w:t xml:space="preserve">reasonable </w:t>
      </w:r>
      <w:r w:rsidR="00AD7BAE">
        <w:t>accommodations</w:t>
      </w:r>
      <w:r w:rsidR="003D5902">
        <w:t xml:space="preserve"> in the workplace, or adjustments t</w:t>
      </w:r>
      <w:r w:rsidR="00413838">
        <w:t>hat enable them t</w:t>
      </w:r>
      <w:r w:rsidR="003D5902">
        <w:t xml:space="preserve">o participate in various </w:t>
      </w:r>
      <w:r w:rsidR="00413838">
        <w:t xml:space="preserve">community </w:t>
      </w:r>
      <w:r w:rsidR="008805DA">
        <w:t>activities.</w:t>
      </w:r>
    </w:p>
    <w:p w14:paraId="560B5C70" w14:textId="77777777" w:rsidR="008805DA" w:rsidRDefault="008805DA" w:rsidP="008805DA">
      <w:pPr>
        <w:pStyle w:val="Heading3"/>
      </w:pPr>
      <w:r>
        <w:t>Examples of Workplace Accommodations:</w:t>
      </w:r>
    </w:p>
    <w:p w14:paraId="0CE60611" w14:textId="77777777" w:rsidR="008805DA" w:rsidRDefault="008805DA" w:rsidP="008C7D69">
      <w:pPr>
        <w:pStyle w:val="ListParagraph"/>
        <w:numPr>
          <w:ilvl w:val="0"/>
          <w:numId w:val="4"/>
        </w:numPr>
      </w:pPr>
      <w:r>
        <w:t>Equipment or devices to assist with lifting or other physical work duties</w:t>
      </w:r>
    </w:p>
    <w:p w14:paraId="6F836854" w14:textId="77777777" w:rsidR="008805DA" w:rsidRDefault="008805DA" w:rsidP="008C7D69">
      <w:pPr>
        <w:pStyle w:val="ListParagraph"/>
        <w:numPr>
          <w:ilvl w:val="0"/>
          <w:numId w:val="4"/>
        </w:numPr>
      </w:pPr>
      <w:r>
        <w:t>Adjustments in schedules to accommodate medical appointments</w:t>
      </w:r>
      <w:r w:rsidR="00CC62DE">
        <w:t xml:space="preserve">, treatments, </w:t>
      </w:r>
      <w:r>
        <w:t xml:space="preserve">or </w:t>
      </w:r>
      <w:r w:rsidR="00CC62DE">
        <w:t xml:space="preserve">other </w:t>
      </w:r>
      <w:r>
        <w:t xml:space="preserve">disability-related needs </w:t>
      </w:r>
    </w:p>
    <w:p w14:paraId="1F465A86" w14:textId="77777777" w:rsidR="008805DA" w:rsidRDefault="008805DA" w:rsidP="008C7D69">
      <w:pPr>
        <w:pStyle w:val="ListParagraph"/>
        <w:numPr>
          <w:ilvl w:val="0"/>
          <w:numId w:val="4"/>
        </w:numPr>
      </w:pPr>
      <w:r>
        <w:t>Amplified telephones or assistive listening devices to accommodate hearing loss</w:t>
      </w:r>
    </w:p>
    <w:p w14:paraId="690B91D5" w14:textId="77777777" w:rsidR="00CC62DE" w:rsidRDefault="00CC62DE" w:rsidP="008C7D69">
      <w:pPr>
        <w:pStyle w:val="ListParagraph"/>
        <w:numPr>
          <w:ilvl w:val="0"/>
          <w:numId w:val="4"/>
        </w:numPr>
      </w:pPr>
      <w:r>
        <w:t xml:space="preserve">Making facilities </w:t>
      </w:r>
      <w:r w:rsidR="00350525">
        <w:t xml:space="preserve">more </w:t>
      </w:r>
      <w:r>
        <w:t>accessible or reserving parking spaces</w:t>
      </w:r>
    </w:p>
    <w:p w14:paraId="7BE67955" w14:textId="77777777" w:rsidR="00CC62DE" w:rsidRDefault="008C7D69" w:rsidP="008C7D69">
      <w:pPr>
        <w:pStyle w:val="ListParagraph"/>
        <w:numPr>
          <w:ilvl w:val="0"/>
          <w:numId w:val="4"/>
        </w:numPr>
      </w:pPr>
      <w:r>
        <w:t>Magnification or screen reading technologies for individuals with vision loss using computers</w:t>
      </w:r>
    </w:p>
    <w:p w14:paraId="53C9B3BB" w14:textId="77777777" w:rsidR="008C7D69" w:rsidRDefault="008C7D69" w:rsidP="008C7D69">
      <w:pPr>
        <w:pStyle w:val="ListParagraph"/>
        <w:numPr>
          <w:ilvl w:val="0"/>
          <w:numId w:val="4"/>
        </w:numPr>
      </w:pPr>
      <w:r>
        <w:t xml:space="preserve">Adjustments in supervisory or communication methods to support workers with memory </w:t>
      </w:r>
      <w:r w:rsidR="00FD0ED0">
        <w:t xml:space="preserve">or cognitive </w:t>
      </w:r>
      <w:r>
        <w:t>impairments</w:t>
      </w:r>
    </w:p>
    <w:p w14:paraId="7C00DE87" w14:textId="77777777" w:rsidR="008C7D69" w:rsidRDefault="008C7D69" w:rsidP="008C7D69">
      <w:pPr>
        <w:pStyle w:val="ListParagraph"/>
        <w:numPr>
          <w:ilvl w:val="0"/>
          <w:numId w:val="4"/>
        </w:numPr>
      </w:pPr>
      <w:r>
        <w:t>And many others!</w:t>
      </w:r>
    </w:p>
    <w:p w14:paraId="06626C5E" w14:textId="2019E5C5" w:rsidR="008805DA" w:rsidRDefault="00FD0ED0" w:rsidP="00FA4C4F">
      <w:r>
        <w:t xml:space="preserve">Improving accessibility in buildings and facilities, making reasonable </w:t>
      </w:r>
      <w:r w:rsidR="00222D56">
        <w:t>adjustments</w:t>
      </w:r>
      <w:r>
        <w:t xml:space="preserve"> in policies, and providing supports for effective communication (assistive listening devices, large print materials, etc.) may </w:t>
      </w:r>
      <w:r w:rsidR="006E60DA">
        <w:t xml:space="preserve">also be needed so that </w:t>
      </w:r>
      <w:r>
        <w:t xml:space="preserve">people </w:t>
      </w:r>
      <w:r w:rsidR="006E60DA">
        <w:t>with disabilities can</w:t>
      </w:r>
      <w:r>
        <w:t xml:space="preserve"> participate in state and local government programs or access the goods and services offered by private businesses.</w:t>
      </w:r>
    </w:p>
    <w:p w14:paraId="2C8DD5C2" w14:textId="1F51C6C5" w:rsidR="00FD0ED0" w:rsidRDefault="00E404D1" w:rsidP="00222D56">
      <w:pPr>
        <w:spacing w:before="240"/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E024586" wp14:editId="4697AA48">
            <wp:simplePos x="0" y="0"/>
            <wp:positionH relativeFrom="column">
              <wp:posOffset>5286375</wp:posOffset>
            </wp:positionH>
            <wp:positionV relativeFrom="paragraph">
              <wp:posOffset>137160</wp:posOffset>
            </wp:positionV>
            <wp:extent cx="10668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14" y="21346"/>
                <wp:lineTo x="21214" y="0"/>
                <wp:lineTo x="0" y="0"/>
              </wp:wrapPolygon>
            </wp:wrapTight>
            <wp:docPr id="4" name="Picture 4" descr="Mid-Atlantic ADA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tical lin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D0">
        <w:t>For more information:</w:t>
      </w:r>
    </w:p>
    <w:p w14:paraId="7024B70F" w14:textId="6D422D33" w:rsidR="00FD0ED0" w:rsidRPr="00222D56" w:rsidRDefault="00FD0ED0" w:rsidP="00FA4C4F">
      <w:pPr>
        <w:rPr>
          <w:rStyle w:val="Strong"/>
          <w:sz w:val="32"/>
          <w:szCs w:val="32"/>
        </w:rPr>
      </w:pPr>
      <w:r w:rsidRPr="00222D56">
        <w:rPr>
          <w:rStyle w:val="Strong"/>
          <w:sz w:val="32"/>
          <w:szCs w:val="32"/>
        </w:rPr>
        <w:t>Mid-Atlantic ADA Center</w:t>
      </w:r>
      <w:r w:rsidR="00B305BE" w:rsidRPr="00222D56">
        <w:rPr>
          <w:rStyle w:val="Strong"/>
          <w:sz w:val="32"/>
          <w:szCs w:val="32"/>
        </w:rPr>
        <w:br/>
      </w:r>
      <w:r w:rsidRPr="00222D56">
        <w:rPr>
          <w:rStyle w:val="Strong"/>
          <w:sz w:val="32"/>
          <w:szCs w:val="32"/>
        </w:rPr>
        <w:t>www.ADAinfo.org</w:t>
      </w:r>
      <w:r w:rsidR="00B305BE" w:rsidRPr="00222D56">
        <w:rPr>
          <w:rStyle w:val="Strong"/>
          <w:sz w:val="32"/>
          <w:szCs w:val="32"/>
        </w:rPr>
        <w:br/>
      </w:r>
      <w:r w:rsidRPr="00222D56">
        <w:rPr>
          <w:rStyle w:val="Strong"/>
          <w:sz w:val="32"/>
          <w:szCs w:val="32"/>
        </w:rPr>
        <w:t>1-800-949-4232 (DC, DE, MD, PA, VA, WV)</w:t>
      </w:r>
      <w:r w:rsidR="00B305BE" w:rsidRPr="00222D56">
        <w:rPr>
          <w:rStyle w:val="Strong"/>
          <w:sz w:val="32"/>
          <w:szCs w:val="32"/>
        </w:rPr>
        <w:br/>
      </w:r>
      <w:r w:rsidRPr="00222D56">
        <w:rPr>
          <w:rStyle w:val="Strong"/>
          <w:sz w:val="32"/>
          <w:szCs w:val="32"/>
        </w:rPr>
        <w:t>301-217-0124</w:t>
      </w:r>
      <w:r w:rsidR="00B305BE" w:rsidRPr="00222D56">
        <w:rPr>
          <w:rStyle w:val="Strong"/>
          <w:sz w:val="32"/>
          <w:szCs w:val="32"/>
        </w:rPr>
        <w:br/>
      </w:r>
      <w:r w:rsidRPr="00222D56">
        <w:rPr>
          <w:rStyle w:val="Strong"/>
          <w:sz w:val="32"/>
          <w:szCs w:val="32"/>
        </w:rPr>
        <w:t>ADAinfo@transcen.org</w:t>
      </w:r>
    </w:p>
    <w:p w14:paraId="4B8FA55F" w14:textId="77777777" w:rsidR="008805DA" w:rsidRDefault="009A6E47" w:rsidP="00FA4C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E737D" wp14:editId="32D1404D">
                <wp:simplePos x="0" y="0"/>
                <wp:positionH relativeFrom="column">
                  <wp:posOffset>8890</wp:posOffset>
                </wp:positionH>
                <wp:positionV relativeFrom="paragraph">
                  <wp:posOffset>151765</wp:posOffset>
                </wp:positionV>
                <wp:extent cx="6400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485E23"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11.95pt" to="504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" strokecolor="#1f4d78 [1604]" strokeweight=".5pt">
                <v:stroke joinstyle="miter"/>
              </v:line>
            </w:pict>
          </mc:Fallback>
        </mc:AlternateContent>
      </w:r>
    </w:p>
    <w:p w14:paraId="60C80F24" w14:textId="77777777" w:rsidR="00C24655" w:rsidRPr="00C24655" w:rsidRDefault="009A6E47" w:rsidP="00C24655">
      <w:pPr>
        <w:rPr>
          <w:sz w:val="22"/>
        </w:rPr>
      </w:pPr>
      <w:r w:rsidRPr="00C24655">
        <w:rPr>
          <w:sz w:val="22"/>
        </w:rPr>
        <w:t>The</w:t>
      </w:r>
      <w:r w:rsidR="00C24655" w:rsidRPr="00C24655">
        <w:rPr>
          <w:sz w:val="22"/>
        </w:rPr>
        <w:t xml:space="preserve"> contents of this </w:t>
      </w:r>
      <w:r w:rsidR="00782DEE">
        <w:rPr>
          <w:sz w:val="22"/>
        </w:rPr>
        <w:t>document</w:t>
      </w:r>
      <w:r w:rsidR="00C24655" w:rsidRPr="00C24655">
        <w:rPr>
          <w:sz w:val="22"/>
        </w:rPr>
        <w:t xml:space="preserve"> were developed under a grant from the National Institute on Disability, Independent Living, and Rehabilitation Research (NIDILRR grant #90DP0089-01-00). NIDILRR is a Center within the Administration for Community Living (ACL), Department of Health and Human Services (HHS). The contents of this </w:t>
      </w:r>
      <w:r w:rsidR="00782DEE">
        <w:rPr>
          <w:sz w:val="22"/>
        </w:rPr>
        <w:t>document</w:t>
      </w:r>
      <w:r w:rsidR="00C24655" w:rsidRPr="00C24655">
        <w:rPr>
          <w:sz w:val="22"/>
        </w:rPr>
        <w:t xml:space="preserve"> do not necessarily represent the policy of NIDILRR, ACL, or HHS, and you should not assume endorsement by the federal government.</w:t>
      </w:r>
    </w:p>
    <w:sectPr w:rsidR="00C24655" w:rsidRPr="00C24655" w:rsidSect="00222D56">
      <w:pgSz w:w="12240" w:h="15840"/>
      <w:pgMar w:top="864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3538"/>
    <w:multiLevelType w:val="hybridMultilevel"/>
    <w:tmpl w:val="E3DC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E3AA8"/>
    <w:multiLevelType w:val="hybridMultilevel"/>
    <w:tmpl w:val="126C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602E5"/>
    <w:multiLevelType w:val="hybridMultilevel"/>
    <w:tmpl w:val="8EF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C04"/>
    <w:multiLevelType w:val="hybridMultilevel"/>
    <w:tmpl w:val="2F62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4F"/>
    <w:rsid w:val="00054601"/>
    <w:rsid w:val="0013273B"/>
    <w:rsid w:val="001E4BA9"/>
    <w:rsid w:val="00222D56"/>
    <w:rsid w:val="00350525"/>
    <w:rsid w:val="003C5516"/>
    <w:rsid w:val="003D4950"/>
    <w:rsid w:val="003D5902"/>
    <w:rsid w:val="00413838"/>
    <w:rsid w:val="004760AF"/>
    <w:rsid w:val="00500D71"/>
    <w:rsid w:val="005237C3"/>
    <w:rsid w:val="005E064D"/>
    <w:rsid w:val="00670EFF"/>
    <w:rsid w:val="006E60DA"/>
    <w:rsid w:val="007403F4"/>
    <w:rsid w:val="00782DEE"/>
    <w:rsid w:val="007B4FBB"/>
    <w:rsid w:val="00800227"/>
    <w:rsid w:val="008805DA"/>
    <w:rsid w:val="008C7D69"/>
    <w:rsid w:val="009A6E47"/>
    <w:rsid w:val="009C7BF9"/>
    <w:rsid w:val="00A11333"/>
    <w:rsid w:val="00A562B8"/>
    <w:rsid w:val="00AD7BAE"/>
    <w:rsid w:val="00B305BE"/>
    <w:rsid w:val="00C24655"/>
    <w:rsid w:val="00CC62DE"/>
    <w:rsid w:val="00CE3726"/>
    <w:rsid w:val="00CE7E1D"/>
    <w:rsid w:val="00D40644"/>
    <w:rsid w:val="00D73963"/>
    <w:rsid w:val="00E20823"/>
    <w:rsid w:val="00E404D1"/>
    <w:rsid w:val="00E960EC"/>
    <w:rsid w:val="00FA4C4F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8F1E8"/>
  <w15:chartTrackingRefBased/>
  <w15:docId w15:val="{68DA632A-72B5-4FD8-9E54-15174C4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BE"/>
    <w:pPr>
      <w:spacing w:after="12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7C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2B8"/>
    <w:pPr>
      <w:keepNext/>
      <w:keepLines/>
      <w:spacing w:before="80" w:after="8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62B8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i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large">
    <w:name w:val="Balloon text large"/>
    <w:basedOn w:val="BalloonText"/>
    <w:qFormat/>
    <w:rsid w:val="005E064D"/>
    <w:pPr>
      <w:jc w:val="center"/>
    </w:pPr>
    <w:rPr>
      <w:rFonts w:ascii="Calibri" w:hAnsi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237C3"/>
    <w:rPr>
      <w:rFonts w:asciiTheme="majorHAnsi" w:eastAsiaTheme="majorEastAsia" w:hAnsiTheme="majorHAnsi" w:cstheme="majorBidi"/>
      <w:b/>
      <w:color w:val="1F4E79" w:themeColor="accent1" w:themeShade="80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2B8"/>
    <w:rPr>
      <w:rFonts w:asciiTheme="majorHAnsi" w:eastAsiaTheme="majorEastAsia" w:hAnsiTheme="majorHAnsi" w:cstheme="majorBidi"/>
      <w:b/>
      <w:color w:val="1F4E79" w:themeColor="accent1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1327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562B8"/>
    <w:rPr>
      <w:rFonts w:asciiTheme="majorHAnsi" w:eastAsiaTheme="majorEastAsia" w:hAnsiTheme="majorHAnsi" w:cstheme="majorBidi"/>
      <w:b/>
      <w:i/>
      <w:color w:val="1F4D78" w:themeColor="accent1" w:themeShade="7F"/>
      <w:sz w:val="28"/>
      <w:szCs w:val="24"/>
    </w:rPr>
  </w:style>
  <w:style w:type="character" w:styleId="Hyperlink">
    <w:name w:val="Hyperlink"/>
    <w:uiPriority w:val="99"/>
    <w:unhideWhenUsed/>
    <w:rsid w:val="00E960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052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305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rod/2012pubs/p70-13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a.gov/oact/tr/2015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nchs/data/hus/hus15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Horton</dc:creator>
  <cp:keywords/>
  <dc:description/>
  <cp:lastModifiedBy>Nancy Horton</cp:lastModifiedBy>
  <cp:revision>11</cp:revision>
  <cp:lastPrinted>2020-03-04T17:25:00Z</cp:lastPrinted>
  <dcterms:created xsi:type="dcterms:W3CDTF">2016-10-25T13:16:00Z</dcterms:created>
  <dcterms:modified xsi:type="dcterms:W3CDTF">2020-03-04T17:32:00Z</dcterms:modified>
</cp:coreProperties>
</file>