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BF93E" w14:textId="1A8B354D" w:rsidR="00D04106" w:rsidRDefault="00B87C52" w:rsidP="00D04106">
      <w:pPr>
        <w:pStyle w:val="Heading1"/>
      </w:pPr>
      <w:r>
        <w:rPr>
          <w:noProof/>
        </w:rPr>
        <w:drawing>
          <wp:anchor distT="0" distB="0" distL="114300" distR="114300" simplePos="0" relativeHeight="251658240" behindDoc="1" locked="0" layoutInCell="1" allowOverlap="1" wp14:anchorId="59857AA9" wp14:editId="7DA66A83">
            <wp:simplePos x="0" y="0"/>
            <wp:positionH relativeFrom="margin">
              <wp:align>right</wp:align>
            </wp:positionH>
            <wp:positionV relativeFrom="paragraph">
              <wp:posOffset>165735</wp:posOffset>
            </wp:positionV>
            <wp:extent cx="902335" cy="1369695"/>
            <wp:effectExtent l="19050" t="19050" r="12065" b="20955"/>
            <wp:wrapTight wrapText="bothSides">
              <wp:wrapPolygon edited="0">
                <wp:start x="-456" y="-300"/>
                <wp:lineTo x="-456" y="21630"/>
                <wp:lineTo x="21433" y="21630"/>
                <wp:lineTo x="21433" y="-300"/>
                <wp:lineTo x="-456" y="-300"/>
              </wp:wrapPolygon>
            </wp:wrapTight>
            <wp:docPr id="10" name="Picture 10" descr="Mid-Atlantic ADA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tical lin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335" cy="1369695"/>
                    </a:xfrm>
                    <a:prstGeom prst="rect">
                      <a:avLst/>
                    </a:prstGeom>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D04106">
        <w:t>Speed Data: Employer Survey on Disability Inclusion</w:t>
      </w:r>
    </w:p>
    <w:p w14:paraId="46B597CA" w14:textId="40ABD15A" w:rsidR="00D04106" w:rsidRDefault="00D04106" w:rsidP="00D04106">
      <w:r>
        <w:t xml:space="preserve">The Mid-Atlantic ADA Center, together with C5 Consulting, LLC, conducted a survey of employers </w:t>
      </w:r>
      <w:r w:rsidR="0081154D">
        <w:t xml:space="preserve">in the Mid-Atlantic region </w:t>
      </w:r>
      <w:r>
        <w:t>to find out more about their practices and their needs related to recruiting, hiring, accommodating, and retaining qualified workers with disabilities.</w:t>
      </w:r>
      <w:r w:rsidR="00B87C52" w:rsidRPr="00B87C52">
        <w:rPr>
          <w:noProof/>
        </w:rPr>
        <w:t xml:space="preserve"> </w:t>
      </w:r>
    </w:p>
    <w:p w14:paraId="1C632586" w14:textId="77777777" w:rsidR="00D04106" w:rsidRDefault="00D04106" w:rsidP="00D04106">
      <w:r>
        <w:t>Some employers responded through telephone interviews, and some responded via an online survey tool.</w:t>
      </w:r>
    </w:p>
    <w:p w14:paraId="723943DF" w14:textId="3D7BF355" w:rsidR="00D04106" w:rsidRDefault="00D04106" w:rsidP="00D04106">
      <w:r>
        <w:t>We found that many of the respondents were taking positive steps to include people with disabilities in their workplaces, yet still face challenges and need additional information, resources, and training to help them address those challenges.</w:t>
      </w:r>
    </w:p>
    <w:p w14:paraId="76EF5368" w14:textId="08A41FED" w:rsidR="00DC52B4" w:rsidRDefault="00DC52B4">
      <w:r>
        <w:rPr>
          <w:noProof/>
        </w:rPr>
        <w:drawing>
          <wp:inline distT="0" distB="0" distL="0" distR="0" wp14:anchorId="7C44124B" wp14:editId="5900825C">
            <wp:extent cx="6844665" cy="4724400"/>
            <wp:effectExtent l="0" t="0" r="13335" b="0"/>
            <wp:docPr id="1" name="Chart 1" descr="Topics followed by percentage of respondents who rated it &quot;not important&quot; or &quot;very important&quot;: creating reasonable accommodation strategy, 42, 58; eating centralized accommodation process, 58, 42; funding, leadership for centralized accommodations, 84, 16; increasing disability self-identification, 16, 84; managing FMLA, ADA, Workers' Comp Interplay, 68, 32; making talent acquisition more accessible, 37, 63; improving digital access, external and internal, 37, 63; understanding business trends in access, 21, 79; understanding interviewing requirements, 11, 89; addressing employee performance issues, 37, 63; creating disability employee resource group, 63, 37; inclusive emergency / disaster preparedness, 37, 63" title="Rating Importance of Need for Information or Training: Telephone Interview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406D14" w14:textId="77777777" w:rsidR="00A65861" w:rsidRDefault="00A65861" w:rsidP="00DA46AA">
      <w:pPr>
        <w:pStyle w:val="Heading2"/>
      </w:pPr>
      <w:r>
        <w:br w:type="page"/>
      </w:r>
    </w:p>
    <w:p w14:paraId="1B698B0F" w14:textId="16FA73FD" w:rsidR="00470029" w:rsidRDefault="00DA46AA" w:rsidP="00DA46AA">
      <w:pPr>
        <w:pStyle w:val="Heading2"/>
      </w:pPr>
      <w:r>
        <w:lastRenderedPageBreak/>
        <w:t>Highlights of Findings</w:t>
      </w:r>
    </w:p>
    <w:p w14:paraId="6C5FEC1B" w14:textId="31E9346F" w:rsidR="00DA46AA" w:rsidRDefault="00DA46AA" w:rsidP="00DA46AA">
      <w:r>
        <w:t xml:space="preserve">Areas </w:t>
      </w:r>
      <w:r w:rsidR="00341CD1">
        <w:t xml:space="preserve">rated as </w:t>
      </w:r>
      <w:r w:rsidR="002E0144">
        <w:t>most</w:t>
      </w:r>
      <w:r w:rsidR="00341CD1">
        <w:t xml:space="preserve"> important</w:t>
      </w:r>
      <w:r>
        <w:t>:</w:t>
      </w:r>
    </w:p>
    <w:p w14:paraId="1928FACE" w14:textId="554ED594" w:rsidR="00B97257" w:rsidRDefault="00DA46AA" w:rsidP="00FD7891">
      <w:pPr>
        <w:pStyle w:val="ListParagraph"/>
        <w:numPr>
          <w:ilvl w:val="0"/>
          <w:numId w:val="1"/>
        </w:numPr>
      </w:pPr>
      <w:r>
        <w:t xml:space="preserve">Employers with federal contracts, who are required under Section 503 of the Rehabilitation Act to engage in affirmative action and invite voluntary self-identification of </w:t>
      </w:r>
      <w:r w:rsidR="00B97257">
        <w:t xml:space="preserve">workers with </w:t>
      </w:r>
      <w:r>
        <w:t>disabilities</w:t>
      </w:r>
      <w:r w:rsidR="00B97257">
        <w:t>, want to find effective ways to increase this self-identification.</w:t>
      </w:r>
      <w:r w:rsidR="007B1A0A">
        <w:t xml:space="preserve"> Several respondents commented that </w:t>
      </w:r>
      <w:r w:rsidR="00235F9F">
        <w:t>some of their</w:t>
      </w:r>
      <w:r w:rsidR="007B1A0A">
        <w:t xml:space="preserve"> employees </w:t>
      </w:r>
      <w:r w:rsidR="00F90B9D">
        <w:t>question the need to self-identify if they don’t need accommodations</w:t>
      </w:r>
      <w:r w:rsidR="00235F9F">
        <w:t xml:space="preserve">, and </w:t>
      </w:r>
      <w:r w:rsidR="00F90B9D">
        <w:t xml:space="preserve">others </w:t>
      </w:r>
      <w:r w:rsidR="00235F9F">
        <w:t xml:space="preserve">express </w:t>
      </w:r>
      <w:r w:rsidR="00341CD1">
        <w:t>concern</w:t>
      </w:r>
      <w:r w:rsidR="00F90B9D">
        <w:t xml:space="preserve"> that </w:t>
      </w:r>
      <w:r w:rsidR="00343E0C">
        <w:t>self-identification</w:t>
      </w:r>
      <w:r w:rsidR="00F90B9D">
        <w:t xml:space="preserve"> might </w:t>
      </w:r>
      <w:r w:rsidR="00235F9F">
        <w:t>lead to</w:t>
      </w:r>
      <w:r w:rsidR="00F90B9D">
        <w:t xml:space="preserve"> negative reactions from either co-workers or managers</w:t>
      </w:r>
      <w:r w:rsidR="00235F9F">
        <w:t>.</w:t>
      </w:r>
      <w:r w:rsidR="007B1A0A">
        <w:t xml:space="preserve"> </w:t>
      </w:r>
    </w:p>
    <w:p w14:paraId="792644EE" w14:textId="5CA60EFC" w:rsidR="00B97257" w:rsidRDefault="00B97257" w:rsidP="00FD7891">
      <w:pPr>
        <w:pStyle w:val="ListParagraph"/>
        <w:numPr>
          <w:ilvl w:val="0"/>
          <w:numId w:val="1"/>
        </w:numPr>
      </w:pPr>
      <w:r>
        <w:t>Employers want more effective training on interviewing requirements and skills for their recruit</w:t>
      </w:r>
      <w:r w:rsidR="00FD7891">
        <w:t>ers</w:t>
      </w:r>
      <w:r>
        <w:t xml:space="preserve"> and hiring</w:t>
      </w:r>
      <w:r w:rsidR="00FD7891">
        <w:t xml:space="preserve"> managers.</w:t>
      </w:r>
    </w:p>
    <w:p w14:paraId="07D3BE29" w14:textId="3F7870A0" w:rsidR="00B97257" w:rsidRDefault="00B97257" w:rsidP="00FD7891">
      <w:pPr>
        <w:pStyle w:val="ListParagraph"/>
        <w:numPr>
          <w:ilvl w:val="0"/>
          <w:numId w:val="1"/>
        </w:numPr>
      </w:pPr>
      <w:r>
        <w:t>Employers want more information on business trends in addressing access issues across organizations (digital, structural, policies, and procedures).</w:t>
      </w:r>
    </w:p>
    <w:p w14:paraId="2BD05206" w14:textId="77777777" w:rsidR="00303BDF" w:rsidRDefault="00B97257" w:rsidP="00FD7891">
      <w:pPr>
        <w:pStyle w:val="ListParagraph"/>
        <w:numPr>
          <w:ilvl w:val="0"/>
          <w:numId w:val="1"/>
        </w:numPr>
      </w:pPr>
      <w:r>
        <w:t>Employers also express</w:t>
      </w:r>
      <w:r w:rsidR="00692F93">
        <w:t xml:space="preserve">ed a high level of interest in information on how to </w:t>
      </w:r>
    </w:p>
    <w:p w14:paraId="5864ED7B" w14:textId="77777777" w:rsidR="00303BDF" w:rsidRDefault="00692F93" w:rsidP="00FD7891">
      <w:pPr>
        <w:pStyle w:val="ListParagraph"/>
        <w:numPr>
          <w:ilvl w:val="1"/>
          <w:numId w:val="1"/>
        </w:numPr>
      </w:pPr>
      <w:r>
        <w:t xml:space="preserve">make their talent acquisition portals and processes more accessible, </w:t>
      </w:r>
    </w:p>
    <w:p w14:paraId="5ABDBCD0" w14:textId="77777777" w:rsidR="00303BDF" w:rsidRDefault="00692F93" w:rsidP="00FD7891">
      <w:pPr>
        <w:pStyle w:val="ListParagraph"/>
        <w:numPr>
          <w:ilvl w:val="1"/>
          <w:numId w:val="1"/>
        </w:numPr>
      </w:pPr>
      <w:r>
        <w:t>improv</w:t>
      </w:r>
      <w:r w:rsidR="00303BDF">
        <w:t>e</w:t>
      </w:r>
      <w:r>
        <w:t xml:space="preserve"> digital accessibility across their organizations, </w:t>
      </w:r>
    </w:p>
    <w:p w14:paraId="197A2FA5" w14:textId="77777777" w:rsidR="00303BDF" w:rsidRDefault="00303BDF" w:rsidP="00FD7891">
      <w:pPr>
        <w:pStyle w:val="ListParagraph"/>
        <w:numPr>
          <w:ilvl w:val="1"/>
          <w:numId w:val="1"/>
        </w:numPr>
      </w:pPr>
      <w:r>
        <w:t xml:space="preserve">address employee performance issues, and </w:t>
      </w:r>
    </w:p>
    <w:p w14:paraId="4855B0B5" w14:textId="77777777" w:rsidR="00FD7891" w:rsidRDefault="00303BDF" w:rsidP="00FD7891">
      <w:pPr>
        <w:pStyle w:val="ListParagraph"/>
        <w:numPr>
          <w:ilvl w:val="1"/>
          <w:numId w:val="1"/>
        </w:numPr>
      </w:pPr>
      <w:r>
        <w:t>make sure workplace emergency and disaster preparedness planning includes and supports individuals with disabilities.</w:t>
      </w:r>
    </w:p>
    <w:p w14:paraId="0D799272" w14:textId="6DF70051" w:rsidR="00820D03" w:rsidRDefault="00FD7891" w:rsidP="00FD7891">
      <w:r>
        <w:t>Areas employers rated</w:t>
      </w:r>
      <w:r w:rsidR="00303BDF">
        <w:t xml:space="preserve"> </w:t>
      </w:r>
      <w:r w:rsidR="002E0144">
        <w:t xml:space="preserve">as </w:t>
      </w:r>
      <w:r>
        <w:t>less important</w:t>
      </w:r>
      <w:r w:rsidR="00820D03">
        <w:t>:</w:t>
      </w:r>
    </w:p>
    <w:p w14:paraId="4499EE6E" w14:textId="69B47246" w:rsidR="00820D03" w:rsidRDefault="00820D03" w:rsidP="00820D03">
      <w:pPr>
        <w:pStyle w:val="ListParagraph"/>
        <w:numPr>
          <w:ilvl w:val="0"/>
          <w:numId w:val="2"/>
        </w:numPr>
      </w:pPr>
      <w:r>
        <w:t>F</w:t>
      </w:r>
      <w:r w:rsidR="00FD7891">
        <w:t>inding funding and generating leadership support for a centralized accommodation budget</w:t>
      </w:r>
      <w:r w:rsidR="00235F9F">
        <w:t>;</w:t>
      </w:r>
      <w:r>
        <w:t xml:space="preserve"> </w:t>
      </w:r>
    </w:p>
    <w:p w14:paraId="65958B87" w14:textId="314743BA" w:rsidR="00820D03" w:rsidRDefault="00820D03" w:rsidP="00820D03">
      <w:pPr>
        <w:pStyle w:val="ListParagraph"/>
        <w:numPr>
          <w:ilvl w:val="0"/>
          <w:numId w:val="2"/>
        </w:numPr>
      </w:pPr>
      <w:r>
        <w:t xml:space="preserve">managing the interplay of the Family and </w:t>
      </w:r>
      <w:r w:rsidR="00235F9F">
        <w:t>M</w:t>
      </w:r>
      <w:r>
        <w:t xml:space="preserve">edical </w:t>
      </w:r>
      <w:r w:rsidR="00235F9F">
        <w:t>L</w:t>
      </w:r>
      <w:r>
        <w:t>eave Act (FMLA), the ADA, and workers’ compensation laws</w:t>
      </w:r>
      <w:r w:rsidR="00235F9F">
        <w:t>;</w:t>
      </w:r>
      <w:r>
        <w:t xml:space="preserve"> </w:t>
      </w:r>
    </w:p>
    <w:p w14:paraId="44F6D79D" w14:textId="4D444F46" w:rsidR="00820D03" w:rsidRDefault="00820D03" w:rsidP="00820D03">
      <w:pPr>
        <w:pStyle w:val="ListParagraph"/>
        <w:numPr>
          <w:ilvl w:val="0"/>
          <w:numId w:val="2"/>
        </w:numPr>
      </w:pPr>
      <w:r>
        <w:t>c</w:t>
      </w:r>
      <w:r w:rsidR="00FD7891">
        <w:t>reating a disability-focused employee resource group (ERG)</w:t>
      </w:r>
      <w:r w:rsidR="00235F9F">
        <w:t>;</w:t>
      </w:r>
      <w:r>
        <w:t xml:space="preserve"> and </w:t>
      </w:r>
    </w:p>
    <w:p w14:paraId="0C79ECC9" w14:textId="518A62A3" w:rsidR="00820D03" w:rsidRDefault="00820D03" w:rsidP="00820D03">
      <w:pPr>
        <w:pStyle w:val="ListParagraph"/>
        <w:numPr>
          <w:ilvl w:val="0"/>
          <w:numId w:val="2"/>
        </w:numPr>
      </w:pPr>
      <w:r>
        <w:t>creating a centralized accommodation process.</w:t>
      </w:r>
    </w:p>
    <w:p w14:paraId="0A857236" w14:textId="3995D078" w:rsidR="00B97257" w:rsidRDefault="00820D03" w:rsidP="00FD7891">
      <w:r>
        <w:t>Many employers who rated “not important” the items related to centralized accommodation</w:t>
      </w:r>
      <w:r w:rsidR="00FD7891">
        <w:t xml:space="preserve"> </w:t>
      </w:r>
      <w:r>
        <w:t>processes and employee resource groups commented that they already had these things in place.</w:t>
      </w:r>
    </w:p>
    <w:p w14:paraId="436B4E5B" w14:textId="4A2A7C4F" w:rsidR="000E2D76" w:rsidRDefault="000E2D76" w:rsidP="000E2D76">
      <w:pPr>
        <w:pStyle w:val="Heading2"/>
      </w:pPr>
      <w:r>
        <w:t>Online Survey Results</w:t>
      </w:r>
    </w:p>
    <w:p w14:paraId="5AEFBA97" w14:textId="43165F2E" w:rsidR="000E2D76" w:rsidRDefault="000E2D76" w:rsidP="00FD7891">
      <w:r>
        <w:t>Responses to the online survey were similar to those from the telephone interviews</w:t>
      </w:r>
      <w:r w:rsidR="00150640">
        <w:t xml:space="preserve"> for half of the questions, but differed significantly </w:t>
      </w:r>
      <w:r w:rsidR="003D1236">
        <w:t xml:space="preserve">in </w:t>
      </w:r>
      <w:r w:rsidR="00150640">
        <w:t>these</w:t>
      </w:r>
      <w:r w:rsidR="003D1236">
        <w:t xml:space="preserve"> areas</w:t>
      </w:r>
      <w:r>
        <w:t>:</w:t>
      </w:r>
    </w:p>
    <w:p w14:paraId="3180D97C" w14:textId="7E4324D4" w:rsidR="000E2D76" w:rsidRDefault="00A84D56" w:rsidP="00150640">
      <w:pPr>
        <w:pStyle w:val="ListParagraph"/>
        <w:numPr>
          <w:ilvl w:val="0"/>
          <w:numId w:val="3"/>
        </w:numPr>
      </w:pPr>
      <w:r>
        <w:t>More o</w:t>
      </w:r>
      <w:r w:rsidR="000E2D76">
        <w:t xml:space="preserve">nline </w:t>
      </w:r>
      <w:r>
        <w:t xml:space="preserve">survey </w:t>
      </w:r>
      <w:r w:rsidR="000E2D76">
        <w:t xml:space="preserve">respondents rated “creating a centralized accommodation process” as </w:t>
      </w:r>
      <w:r>
        <w:t xml:space="preserve">very important </w:t>
      </w:r>
      <w:r w:rsidR="000E2D76">
        <w:t xml:space="preserve">(78% </w:t>
      </w:r>
      <w:r>
        <w:t>compared with only 42% of telephone interviewees).</w:t>
      </w:r>
    </w:p>
    <w:p w14:paraId="72378A8C" w14:textId="7004E6B3" w:rsidR="00A84D56" w:rsidRDefault="00A84D56" w:rsidP="00150640">
      <w:pPr>
        <w:pStyle w:val="ListParagraph"/>
        <w:numPr>
          <w:ilvl w:val="0"/>
          <w:numId w:val="3"/>
        </w:numPr>
      </w:pPr>
      <w:r>
        <w:t>Fewer online survey respondents rated “increasing disability self-identification” as very important (50% compared with 84%).</w:t>
      </w:r>
    </w:p>
    <w:p w14:paraId="2AA3BE45" w14:textId="2E394D0B" w:rsidR="00A84D56" w:rsidRDefault="00A84D56" w:rsidP="00150640">
      <w:pPr>
        <w:pStyle w:val="ListParagraph"/>
        <w:numPr>
          <w:ilvl w:val="0"/>
          <w:numId w:val="3"/>
        </w:numPr>
      </w:pPr>
      <w:r>
        <w:lastRenderedPageBreak/>
        <w:t>More online survey respondents rated “managing FMLA, Workers’ Comp, ADA interplay” as very important (75% compared with 32%).</w:t>
      </w:r>
    </w:p>
    <w:p w14:paraId="383CDB54" w14:textId="39C8A00A" w:rsidR="000E2D76" w:rsidRDefault="00A84D56" w:rsidP="00150640">
      <w:pPr>
        <w:pStyle w:val="ListParagraph"/>
        <w:numPr>
          <w:ilvl w:val="0"/>
          <w:numId w:val="3"/>
        </w:numPr>
      </w:pPr>
      <w:r>
        <w:t>Fewer online survey respondents rated</w:t>
      </w:r>
      <w:r w:rsidR="00150640">
        <w:t xml:space="preserve"> “improving digital access, external and internal” as very important (38% compared with 63%).</w:t>
      </w:r>
    </w:p>
    <w:p w14:paraId="60B07859" w14:textId="6612E903" w:rsidR="00150640" w:rsidRDefault="00150640" w:rsidP="00150640">
      <w:pPr>
        <w:pStyle w:val="ListParagraph"/>
        <w:numPr>
          <w:ilvl w:val="0"/>
          <w:numId w:val="3"/>
        </w:numPr>
      </w:pPr>
      <w:r>
        <w:t>Fewer online survey respondents rated “understanding interviewing requirements” as very important (50% compared with 89%).</w:t>
      </w:r>
    </w:p>
    <w:p w14:paraId="7E8209FA" w14:textId="3BCC67C1" w:rsidR="00150640" w:rsidRDefault="00150640" w:rsidP="00150640">
      <w:pPr>
        <w:pStyle w:val="ListParagraph"/>
        <w:numPr>
          <w:ilvl w:val="0"/>
          <w:numId w:val="3"/>
        </w:numPr>
      </w:pPr>
      <w:r>
        <w:t>Fewer online survey respondents rated “addressing employee performance issues” as very important (43% compared with 63%).</w:t>
      </w:r>
    </w:p>
    <w:p w14:paraId="2BB51E99" w14:textId="6F660F80" w:rsidR="00731F37" w:rsidRDefault="00731F37" w:rsidP="00731F37">
      <w:r>
        <w:t xml:space="preserve">Interestingly, the areas where responses from the two groups aligned most closely </w:t>
      </w:r>
      <w:r w:rsidRPr="00731F37">
        <w:rPr>
          <w:i/>
          <w:iCs/>
        </w:rPr>
        <w:t>and</w:t>
      </w:r>
      <w:r>
        <w:t xml:space="preserve"> were </w:t>
      </w:r>
      <w:r w:rsidR="00594015">
        <w:t xml:space="preserve">more often </w:t>
      </w:r>
      <w:r>
        <w:t>rated as very important were “understanding business trends in access” (</w:t>
      </w:r>
      <w:r w:rsidR="00653382">
        <w:t xml:space="preserve">79% of telephone respondents and 75% of online respondents rated </w:t>
      </w:r>
      <w:r w:rsidR="0067519E">
        <w:t xml:space="preserve">this as </w:t>
      </w:r>
      <w:r w:rsidR="00653382">
        <w:t>very important</w:t>
      </w:r>
      <w:r>
        <w:t>) and “making talent acquisition more accessible”</w:t>
      </w:r>
      <w:r w:rsidR="00653382">
        <w:t xml:space="preserve"> (63% of telephone respondents and 67% of online respondents rated this as very important).</w:t>
      </w:r>
    </w:p>
    <w:p w14:paraId="659642CA" w14:textId="1C907F3A" w:rsidR="0081154D" w:rsidRDefault="0081154D" w:rsidP="0081154D">
      <w:pPr>
        <w:pStyle w:val="Heading2"/>
      </w:pPr>
      <w:r>
        <w:t>Implications</w:t>
      </w:r>
    </w:p>
    <w:p w14:paraId="333E7980" w14:textId="08BE655B" w:rsidR="007E0124" w:rsidRDefault="0073589F" w:rsidP="0073589F">
      <w:r>
        <w:t>More outreach and engagement with employers will be needed to better understand the</w:t>
      </w:r>
      <w:r w:rsidR="00C86A37">
        <w:t>ir</w:t>
      </w:r>
      <w:r>
        <w:t xml:space="preserve"> diverse needs </w:t>
      </w:r>
      <w:r w:rsidR="00C86A37">
        <w:t xml:space="preserve">and interests </w:t>
      </w:r>
      <w:r>
        <w:t xml:space="preserve">related to employing workers with disabilities, but there are </w:t>
      </w:r>
      <w:r w:rsidR="007E0124">
        <w:t>certainly</w:t>
      </w:r>
      <w:r>
        <w:t xml:space="preserve"> indications that employers would </w:t>
      </w:r>
      <w:r w:rsidR="007E0124">
        <w:t xml:space="preserve">generally </w:t>
      </w:r>
      <w:r w:rsidR="00C86A37">
        <w:t>welcome training, resources, and information about best practices to improve</w:t>
      </w:r>
    </w:p>
    <w:p w14:paraId="5EC89ACF" w14:textId="3CD3144B" w:rsidR="007E0124" w:rsidRDefault="0067519E" w:rsidP="007E0124">
      <w:pPr>
        <w:pStyle w:val="ListParagraph"/>
        <w:numPr>
          <w:ilvl w:val="0"/>
          <w:numId w:val="4"/>
        </w:numPr>
      </w:pPr>
      <w:r>
        <w:t>r</w:t>
      </w:r>
      <w:r w:rsidR="00C86A37">
        <w:t>ecruitment (including digital methods)</w:t>
      </w:r>
      <w:r w:rsidR="007D23EC">
        <w:t xml:space="preserve"> and </w:t>
      </w:r>
      <w:r w:rsidR="007E0124">
        <w:t>i</w:t>
      </w:r>
      <w:r w:rsidR="00C86A37">
        <w:t>nterviewing skills</w:t>
      </w:r>
      <w:r w:rsidR="007D23EC">
        <w:t>,</w:t>
      </w:r>
    </w:p>
    <w:p w14:paraId="75A0503A" w14:textId="23A1FA2C" w:rsidR="007E0124" w:rsidRDefault="0067519E" w:rsidP="007E0124">
      <w:pPr>
        <w:pStyle w:val="ListParagraph"/>
        <w:numPr>
          <w:ilvl w:val="0"/>
          <w:numId w:val="4"/>
        </w:numPr>
      </w:pPr>
      <w:r>
        <w:t>r</w:t>
      </w:r>
      <w:r w:rsidR="00343E0C">
        <w:t>easonable accommodation processes</w:t>
      </w:r>
      <w:r w:rsidR="007D23EC">
        <w:t>,</w:t>
      </w:r>
      <w:r w:rsidR="007E0124">
        <w:t xml:space="preserve"> and</w:t>
      </w:r>
    </w:p>
    <w:p w14:paraId="75866715" w14:textId="6435C736" w:rsidR="00343E0C" w:rsidRDefault="0067519E" w:rsidP="007E0124">
      <w:pPr>
        <w:pStyle w:val="ListParagraph"/>
        <w:numPr>
          <w:ilvl w:val="0"/>
          <w:numId w:val="4"/>
        </w:numPr>
      </w:pPr>
      <w:r>
        <w:t>p</w:t>
      </w:r>
      <w:r w:rsidR="00343E0C">
        <w:t xml:space="preserve">lanning for </w:t>
      </w:r>
      <w:r w:rsidR="007E0124">
        <w:t xml:space="preserve">inclusive and supportive </w:t>
      </w:r>
      <w:r w:rsidR="00343E0C">
        <w:t>emergency preparedness in the workplace.</w:t>
      </w:r>
    </w:p>
    <w:p w14:paraId="3BC89B6F" w14:textId="774847E5" w:rsidR="00DA46AA" w:rsidRDefault="00BF6F29" w:rsidP="00343E0C">
      <w:r>
        <w:t>E</w:t>
      </w:r>
      <w:r w:rsidR="00343E0C">
        <w:t xml:space="preserve">mployers who practice affirmative action appear to struggle with helping both workers with disabilities and </w:t>
      </w:r>
      <w:r w:rsidR="00124F5F">
        <w:t xml:space="preserve">their own </w:t>
      </w:r>
      <w:r w:rsidR="00343E0C">
        <w:t>representatives</w:t>
      </w:r>
      <w:r w:rsidR="00124F5F">
        <w:t xml:space="preserve"> (</w:t>
      </w:r>
      <w:r w:rsidR="00343E0C">
        <w:t xml:space="preserve">such as </w:t>
      </w:r>
      <w:r w:rsidR="007E0124">
        <w:t xml:space="preserve">recruiters and </w:t>
      </w:r>
      <w:r w:rsidR="00343E0C">
        <w:t>managers</w:t>
      </w:r>
      <w:r w:rsidR="00124F5F">
        <w:t>)</w:t>
      </w:r>
      <w:r w:rsidR="00343E0C">
        <w:t xml:space="preserve"> understand </w:t>
      </w:r>
      <w:r w:rsidR="007E0124">
        <w:t xml:space="preserve">voluntary </w:t>
      </w:r>
      <w:r w:rsidR="00343E0C">
        <w:t>self-identification</w:t>
      </w:r>
      <w:r w:rsidR="007E0124">
        <w:t xml:space="preserve">. These employers express strong interest in data-driven </w:t>
      </w:r>
      <w:r w:rsidR="00594015">
        <w:t>training and resources to help them foster</w:t>
      </w:r>
      <w:r w:rsidR="00343E0C">
        <w:t xml:space="preserve"> cultures where individuals with disabilities feel comfortable in self-identifying.</w:t>
      </w:r>
      <w:r w:rsidR="00DA46AA">
        <w:t xml:space="preserve"> </w:t>
      </w:r>
    </w:p>
    <w:p w14:paraId="69241953" w14:textId="49FFEDD8" w:rsidR="00BF102E" w:rsidRDefault="00594015" w:rsidP="00343E0C">
      <w:r>
        <w:t xml:space="preserve">The </w:t>
      </w:r>
      <w:r w:rsidR="007D23EC">
        <w:t>high level of interest in understanding business trends in accessibility across organizations and industries</w:t>
      </w:r>
      <w:r w:rsidR="00653382">
        <w:t xml:space="preserve"> </w:t>
      </w:r>
      <w:r w:rsidR="007D23EC">
        <w:t>may present both opportunities</w:t>
      </w:r>
      <w:r w:rsidR="001C2E1A">
        <w:t xml:space="preserve"> and challenges</w:t>
      </w:r>
      <w:r w:rsidR="001F797C">
        <w:t>, as</w:t>
      </w:r>
      <w:r w:rsidR="00BF102E">
        <w:t xml:space="preserve"> it</w:t>
      </w:r>
      <w:r w:rsidR="00BF6F29">
        <w:t xml:space="preserve"> </w:t>
      </w:r>
      <w:r w:rsidR="00BF102E">
        <w:t xml:space="preserve">may </w:t>
      </w:r>
      <w:r w:rsidR="00BF6F29">
        <w:t>suggest c</w:t>
      </w:r>
      <w:r w:rsidR="006E5AF1">
        <w:t>ultivating collaboration</w:t>
      </w:r>
      <w:r w:rsidR="0067519E">
        <w:t xml:space="preserve"> both internally and externally</w:t>
      </w:r>
      <w:r w:rsidR="00BF102E">
        <w:t xml:space="preserve"> to improve disability employment across the board. </w:t>
      </w:r>
    </w:p>
    <w:p w14:paraId="7998ACCD" w14:textId="2410837C" w:rsidR="00594015" w:rsidRDefault="00BF102E" w:rsidP="00343E0C">
      <w:r>
        <w:t>Bu</w:t>
      </w:r>
      <w:r w:rsidR="00BF6F29">
        <w:t xml:space="preserve">sinesses have often </w:t>
      </w:r>
      <w:r>
        <w:t xml:space="preserve">engaged in </w:t>
      </w:r>
      <w:r w:rsidR="00BF6F29">
        <w:t xml:space="preserve">such </w:t>
      </w:r>
      <w:r>
        <w:t>collaboration where they see the potential for shared benefit.</w:t>
      </w:r>
      <w:r w:rsidR="00BF6F29">
        <w:t xml:space="preserve"> There are a host of </w:t>
      </w:r>
      <w:r w:rsidR="0067519E">
        <w:t xml:space="preserve">business </w:t>
      </w:r>
      <w:r w:rsidR="00FD50DE">
        <w:t>organizations</w:t>
      </w:r>
      <w:r w:rsidR="00BF6F29">
        <w:t xml:space="preserve">, from small local business associations to international </w:t>
      </w:r>
      <w:r w:rsidR="00FD50DE">
        <w:t>alliances</w:t>
      </w:r>
      <w:r w:rsidR="00BF6F29">
        <w:t xml:space="preserve">, that promote inclusive employment practices by offering businesses a chance to gain </w:t>
      </w:r>
      <w:r w:rsidR="00451AA7">
        <w:t xml:space="preserve">positive </w:t>
      </w:r>
      <w:r w:rsidR="00BF6F29">
        <w:t xml:space="preserve">recognition </w:t>
      </w:r>
      <w:r w:rsidR="00451AA7">
        <w:t>through</w:t>
      </w:r>
      <w:r>
        <w:t xml:space="preserve"> sharing their best practices and successful strategies. </w:t>
      </w:r>
      <w:r w:rsidR="00451AA7">
        <w:t xml:space="preserve">Supporting </w:t>
      </w:r>
      <w:r w:rsidR="00FD50DE">
        <w:t xml:space="preserve">and </w:t>
      </w:r>
      <w:r w:rsidR="00FD50DE">
        <w:lastRenderedPageBreak/>
        <w:t xml:space="preserve">engaging with </w:t>
      </w:r>
      <w:r w:rsidR="00451AA7">
        <w:t>these efforts may</w:t>
      </w:r>
      <w:r w:rsidR="00FD50DE">
        <w:t xml:space="preserve"> </w:t>
      </w:r>
      <w:r w:rsidR="001F797C">
        <w:t>be a way to increase opportunities for this kind of peer-to-peer sharing.</w:t>
      </w:r>
    </w:p>
    <w:p w14:paraId="23604456" w14:textId="7365084D" w:rsidR="00F32F8A" w:rsidRDefault="0067519E" w:rsidP="00343E0C">
      <w:r>
        <w:t xml:space="preserve">Similarly, </w:t>
      </w:r>
      <w:r w:rsidR="00F32F8A">
        <w:t>promoting</w:t>
      </w:r>
      <w:r>
        <w:t xml:space="preserve"> </w:t>
      </w:r>
      <w:r w:rsidR="009859E2">
        <w:t xml:space="preserve">collaborative </w:t>
      </w:r>
      <w:r>
        <w:t xml:space="preserve">relationships between businesses and </w:t>
      </w:r>
      <w:r w:rsidR="009859E2">
        <w:t xml:space="preserve">educational institutions, vocational rehabilitation agencies, and disability organizations may result in </w:t>
      </w:r>
      <w:r w:rsidR="00F32F8A">
        <w:t xml:space="preserve">mutually beneficial </w:t>
      </w:r>
      <w:r w:rsidR="009859E2">
        <w:t>outcomes</w:t>
      </w:r>
      <w:r w:rsidR="00F32F8A">
        <w:t xml:space="preserve">. </w:t>
      </w:r>
    </w:p>
    <w:p w14:paraId="623E0D83" w14:textId="645E8CF1" w:rsidR="0098361F" w:rsidRDefault="00F32F8A" w:rsidP="00F32F8A">
      <w:pPr>
        <w:pStyle w:val="IntenseQuote"/>
      </w:pPr>
      <w:r w:rsidRPr="00F32F8A">
        <w:t>“ … supporting [</w:t>
      </w:r>
      <w:r>
        <w:t>reasonable accommodation</w:t>
      </w:r>
      <w:r w:rsidRPr="00F32F8A">
        <w:t xml:space="preserve">] strategy can help increase opportunities for employment for those in the communities </w:t>
      </w:r>
      <w:r>
        <w:t xml:space="preserve">where </w:t>
      </w:r>
      <w:r w:rsidRPr="00F32F8A">
        <w:t>we operate</w:t>
      </w:r>
      <w:r>
        <w:t xml:space="preserve"> … w</w:t>
      </w:r>
      <w:r w:rsidRPr="00F32F8A">
        <w:t>hich in turn creates an additional pipeline of talent for our organization.</w:t>
      </w:r>
      <w:r>
        <w:t xml:space="preserve">” </w:t>
      </w:r>
    </w:p>
    <w:p w14:paraId="6BE888E8" w14:textId="7B1B183F" w:rsidR="00F32F8A" w:rsidRPr="00F32F8A" w:rsidRDefault="00F32F8A" w:rsidP="00F32F8A">
      <w:pPr>
        <w:pStyle w:val="IntenseQuote"/>
      </w:pPr>
      <w:r>
        <w:t>~ Survey Respondent</w:t>
      </w:r>
    </w:p>
    <w:p w14:paraId="414B853B" w14:textId="1078D887" w:rsidR="00EF56F4" w:rsidRDefault="00EF56F4" w:rsidP="00EF56F4">
      <w:pPr>
        <w:pStyle w:val="Heading2"/>
      </w:pPr>
      <w:r>
        <w:t>Common Comments</w:t>
      </w:r>
    </w:p>
    <w:p w14:paraId="5AC638C3" w14:textId="214CB871" w:rsidR="00D317FF" w:rsidRDefault="001F797C" w:rsidP="00343E0C">
      <w:r>
        <w:t>In addition to the ratings, the surveys invited c</w:t>
      </w:r>
      <w:r w:rsidR="00BF6F29">
        <w:t>omments</w:t>
      </w:r>
      <w:r>
        <w:t xml:space="preserve"> from respondents.</w:t>
      </w:r>
      <w:r w:rsidR="00BF6F29">
        <w:t xml:space="preserve"> </w:t>
      </w:r>
      <w:r>
        <w:t>Several included s</w:t>
      </w:r>
      <w:r w:rsidR="00D317FF">
        <w:t>imilar s</w:t>
      </w:r>
      <w:r>
        <w:t xml:space="preserve">uggestions </w:t>
      </w:r>
      <w:r w:rsidR="001C2E1A">
        <w:t xml:space="preserve">for training and materials </w:t>
      </w:r>
      <w:r w:rsidR="00D317FF">
        <w:t>that may be worth considering for further exploration and development</w:t>
      </w:r>
      <w:r w:rsidR="001C2E1A">
        <w:t>. Employers see a need for</w:t>
      </w:r>
    </w:p>
    <w:p w14:paraId="24BE2254" w14:textId="2A827D4B" w:rsidR="00DB4D6A" w:rsidRDefault="001C2E1A" w:rsidP="005F0C4A">
      <w:pPr>
        <w:pStyle w:val="ListParagraph"/>
        <w:numPr>
          <w:ilvl w:val="0"/>
          <w:numId w:val="5"/>
        </w:numPr>
      </w:pPr>
      <w:r>
        <w:t>g</w:t>
      </w:r>
      <w:r w:rsidR="001F797C">
        <w:t xml:space="preserve">uides, checklists, and videos that are </w:t>
      </w:r>
      <w:r w:rsidR="00EF56F4">
        <w:t xml:space="preserve">short, simple, </w:t>
      </w:r>
      <w:r w:rsidR="001F797C">
        <w:t>user-friendly</w:t>
      </w:r>
      <w:r w:rsidR="00D317FF">
        <w:t>, and emphasiz</w:t>
      </w:r>
      <w:r w:rsidR="00DB4D6A">
        <w:t>e</w:t>
      </w:r>
      <w:r w:rsidR="00D317FF">
        <w:t xml:space="preserve"> </w:t>
      </w:r>
      <w:r w:rsidR="005F0C4A">
        <w:t xml:space="preserve">practical </w:t>
      </w:r>
      <w:r w:rsidR="00D317FF">
        <w:t>skills</w:t>
      </w:r>
      <w:r>
        <w:t>;</w:t>
      </w:r>
      <w:r w:rsidR="00F46A99">
        <w:t xml:space="preserve"> and</w:t>
      </w:r>
    </w:p>
    <w:p w14:paraId="77B8395B" w14:textId="6B511983" w:rsidR="00EF56F4" w:rsidRDefault="001C2E1A" w:rsidP="005F0C4A">
      <w:pPr>
        <w:pStyle w:val="ListParagraph"/>
        <w:numPr>
          <w:ilvl w:val="0"/>
          <w:numId w:val="5"/>
        </w:numPr>
      </w:pPr>
      <w:r>
        <w:t>a</w:t>
      </w:r>
      <w:r w:rsidR="00EF56F4">
        <w:t xml:space="preserve">ctivities or materials that help recipients identify and address unconscious </w:t>
      </w:r>
      <w:r w:rsidR="005F0C4A">
        <w:t xml:space="preserve">personal </w:t>
      </w:r>
      <w:r w:rsidR="00EF56F4">
        <w:t>bias</w:t>
      </w:r>
      <w:r w:rsidR="005F0C4A">
        <w:t xml:space="preserve"> or bias implicit in systems</w:t>
      </w:r>
      <w:r>
        <w:t>.</w:t>
      </w:r>
    </w:p>
    <w:p w14:paraId="7ACA75CD" w14:textId="3D6DF9F4" w:rsidR="005F0C4A" w:rsidRDefault="005F0C4A" w:rsidP="005F0C4A">
      <w:r>
        <w:t>The survey results suggest that many employers in the region are already proactive about disability inclusion</w:t>
      </w:r>
      <w:r w:rsidR="0019716A">
        <w:t xml:space="preserve">, and recognize the benefits it brings to their workplaces and communities. Yet they also realize </w:t>
      </w:r>
      <w:r>
        <w:t xml:space="preserve">there is more they can do to </w:t>
      </w:r>
      <w:r w:rsidR="0098361F">
        <w:t>level the playing field for workers with disabilities</w:t>
      </w:r>
      <w:r w:rsidR="0019716A">
        <w:t xml:space="preserve">. </w:t>
      </w:r>
    </w:p>
    <w:p w14:paraId="6F112E35" w14:textId="6667050B" w:rsidR="00E15F54" w:rsidRDefault="0019716A" w:rsidP="005F0C4A">
      <w:r>
        <w:t>We thank all the employers who took the time to respond to our survey and provide us with valuable information and suggestions.</w:t>
      </w:r>
    </w:p>
    <w:p w14:paraId="3FF158B8" w14:textId="28A04BFA" w:rsidR="00594015" w:rsidRDefault="00B87C52" w:rsidP="00A65861">
      <w:pPr>
        <w:spacing w:after="120" w:line="240" w:lineRule="auto"/>
        <w:jc w:val="center"/>
        <w:rPr>
          <w:b/>
          <w:bCs/>
          <w:szCs w:val="26"/>
        </w:rPr>
      </w:pPr>
      <w:r w:rsidRPr="00A65861">
        <w:rPr>
          <w:b/>
          <w:bCs/>
          <w:szCs w:val="26"/>
        </w:rPr>
        <w:t>Mid-Atlantic ADA Center</w:t>
      </w:r>
      <w:r w:rsidRPr="00A65861">
        <w:rPr>
          <w:b/>
          <w:bCs/>
          <w:szCs w:val="26"/>
        </w:rPr>
        <w:br/>
        <w:t>TransCen, Inc.</w:t>
      </w:r>
      <w:r w:rsidRPr="00A65861">
        <w:rPr>
          <w:b/>
          <w:bCs/>
          <w:szCs w:val="26"/>
        </w:rPr>
        <w:br/>
      </w:r>
      <w:hyperlink r:id="rId9" w:history="1">
        <w:r w:rsidRPr="00A65861">
          <w:rPr>
            <w:rStyle w:val="Hyperlink"/>
            <w:b/>
            <w:bCs/>
            <w:color w:val="auto"/>
            <w:szCs w:val="26"/>
            <w:u w:val="none"/>
          </w:rPr>
          <w:t>www.ADAinfo.org</w:t>
        </w:r>
      </w:hyperlink>
      <w:r w:rsidRPr="00A65861">
        <w:rPr>
          <w:b/>
          <w:bCs/>
          <w:szCs w:val="26"/>
        </w:rPr>
        <w:br/>
        <w:t>800-949-4232 (DC, DE, MD, PA, VA, WV)</w:t>
      </w:r>
      <w:r w:rsidRPr="00A65861">
        <w:rPr>
          <w:b/>
          <w:bCs/>
          <w:szCs w:val="26"/>
        </w:rPr>
        <w:br/>
        <w:t>301-217-0124</w:t>
      </w:r>
    </w:p>
    <w:p w14:paraId="288F85B2" w14:textId="7A3AE802" w:rsidR="00A65861" w:rsidRPr="00A65861" w:rsidRDefault="00A65861" w:rsidP="00A65861">
      <w:pPr>
        <w:spacing w:before="120"/>
        <w:rPr>
          <w:sz w:val="20"/>
          <w:szCs w:val="20"/>
        </w:rPr>
      </w:pPr>
      <w:r w:rsidRPr="00A65861">
        <w:rPr>
          <w:sz w:val="20"/>
          <w:szCs w:val="20"/>
        </w:rPr>
        <w:t>The contents of this document were developed under a grant from the National Institute on Disability, Independent Living, and Rehabilitation Research (NIDILRR grant #90DP0089-01-00). NIDILRR is a Center within the Administration for Community Living (ACL), Department of Health and Human Services (HHS). The contents of this document do not necessarily represent the policy of NIDILRR, ACL, or HHS, and you should not assume endorsement by the federal government.</w:t>
      </w:r>
    </w:p>
    <w:sectPr w:rsidR="00A65861" w:rsidRPr="00A65861" w:rsidSect="00A65861">
      <w:headerReference w:type="default" r:id="rId10"/>
      <w:footerReference w:type="default" r:id="rId11"/>
      <w:pgSz w:w="12240" w:h="15840"/>
      <w:pgMar w:top="1440" w:right="720" w:bottom="172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629F" w14:textId="77777777" w:rsidR="003C100F" w:rsidRDefault="003C100F" w:rsidP="00124F5F">
      <w:pPr>
        <w:spacing w:after="0" w:line="240" w:lineRule="auto"/>
      </w:pPr>
      <w:r>
        <w:separator/>
      </w:r>
    </w:p>
  </w:endnote>
  <w:endnote w:type="continuationSeparator" w:id="0">
    <w:p w14:paraId="72CE069A" w14:textId="77777777" w:rsidR="003C100F" w:rsidRDefault="003C100F" w:rsidP="0012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9496" w14:textId="6052A5D5" w:rsidR="00B87C52" w:rsidRDefault="00B87C52">
    <w:pPr>
      <w:pStyle w:val="Footer"/>
    </w:pPr>
    <w:r>
      <w:t>2020</w:t>
    </w:r>
  </w:p>
  <w:p w14:paraId="60854183" w14:textId="265FD5FA" w:rsidR="00124F5F" w:rsidRDefault="00124F5F" w:rsidP="000054BF">
    <w:pPr>
      <w:pStyle w:val="Footer"/>
      <w:tabs>
        <w:tab w:val="clear" w:pos="4680"/>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150D" w14:textId="77777777" w:rsidR="003C100F" w:rsidRDefault="003C100F" w:rsidP="00124F5F">
      <w:pPr>
        <w:spacing w:after="0" w:line="240" w:lineRule="auto"/>
      </w:pPr>
      <w:r>
        <w:separator/>
      </w:r>
    </w:p>
  </w:footnote>
  <w:footnote w:type="continuationSeparator" w:id="0">
    <w:p w14:paraId="044FD15A" w14:textId="77777777" w:rsidR="003C100F" w:rsidRDefault="003C100F" w:rsidP="00124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DF247D5" w14:textId="77777777" w:rsidR="007E2397" w:rsidRDefault="007E239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63EDEC6" w14:textId="77777777" w:rsidR="007E2397" w:rsidRDefault="007E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6F25"/>
    <w:multiLevelType w:val="hybridMultilevel"/>
    <w:tmpl w:val="4F1EB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7390"/>
    <w:multiLevelType w:val="hybridMultilevel"/>
    <w:tmpl w:val="5C34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86D7E"/>
    <w:multiLevelType w:val="hybridMultilevel"/>
    <w:tmpl w:val="6FF6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E422A"/>
    <w:multiLevelType w:val="hybridMultilevel"/>
    <w:tmpl w:val="FDC2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C4EA5"/>
    <w:multiLevelType w:val="hybridMultilevel"/>
    <w:tmpl w:val="C240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4A"/>
    <w:rsid w:val="000054BF"/>
    <w:rsid w:val="000204A5"/>
    <w:rsid w:val="000C1F4A"/>
    <w:rsid w:val="000E2D76"/>
    <w:rsid w:val="00124F5F"/>
    <w:rsid w:val="0014672F"/>
    <w:rsid w:val="00150640"/>
    <w:rsid w:val="00183010"/>
    <w:rsid w:val="0019716A"/>
    <w:rsid w:val="001C2E1A"/>
    <w:rsid w:val="001F2E97"/>
    <w:rsid w:val="001F797C"/>
    <w:rsid w:val="00235F9F"/>
    <w:rsid w:val="002E0144"/>
    <w:rsid w:val="00303BDF"/>
    <w:rsid w:val="003106F6"/>
    <w:rsid w:val="00341CD1"/>
    <w:rsid w:val="00343E0C"/>
    <w:rsid w:val="003C100F"/>
    <w:rsid w:val="003D1236"/>
    <w:rsid w:val="00447C0A"/>
    <w:rsid w:val="00451AA7"/>
    <w:rsid w:val="00467D1E"/>
    <w:rsid w:val="00470029"/>
    <w:rsid w:val="00477824"/>
    <w:rsid w:val="004D3651"/>
    <w:rsid w:val="00532675"/>
    <w:rsid w:val="00594015"/>
    <w:rsid w:val="005F0C4A"/>
    <w:rsid w:val="00653382"/>
    <w:rsid w:val="0067519E"/>
    <w:rsid w:val="00692F93"/>
    <w:rsid w:val="006E5AF1"/>
    <w:rsid w:val="007204F3"/>
    <w:rsid w:val="00731F37"/>
    <w:rsid w:val="0073589F"/>
    <w:rsid w:val="00773F1B"/>
    <w:rsid w:val="007B1A0A"/>
    <w:rsid w:val="007D23EC"/>
    <w:rsid w:val="007E0124"/>
    <w:rsid w:val="007E2397"/>
    <w:rsid w:val="0081154D"/>
    <w:rsid w:val="00820D03"/>
    <w:rsid w:val="008A0ECD"/>
    <w:rsid w:val="0092378C"/>
    <w:rsid w:val="0098361F"/>
    <w:rsid w:val="009859E2"/>
    <w:rsid w:val="009D24E7"/>
    <w:rsid w:val="00A65861"/>
    <w:rsid w:val="00A84D56"/>
    <w:rsid w:val="00AC7F07"/>
    <w:rsid w:val="00B87C52"/>
    <w:rsid w:val="00B97257"/>
    <w:rsid w:val="00BB5A46"/>
    <w:rsid w:val="00BE1041"/>
    <w:rsid w:val="00BF102E"/>
    <w:rsid w:val="00BF6F29"/>
    <w:rsid w:val="00C86A37"/>
    <w:rsid w:val="00D04106"/>
    <w:rsid w:val="00D317FF"/>
    <w:rsid w:val="00DA46AA"/>
    <w:rsid w:val="00DB4D6A"/>
    <w:rsid w:val="00DC52B4"/>
    <w:rsid w:val="00DD704B"/>
    <w:rsid w:val="00DE559F"/>
    <w:rsid w:val="00E15F54"/>
    <w:rsid w:val="00E2137E"/>
    <w:rsid w:val="00E41230"/>
    <w:rsid w:val="00E92130"/>
    <w:rsid w:val="00E92AC8"/>
    <w:rsid w:val="00E95FAB"/>
    <w:rsid w:val="00EF56F4"/>
    <w:rsid w:val="00F32F8A"/>
    <w:rsid w:val="00F46A99"/>
    <w:rsid w:val="00F90B9D"/>
    <w:rsid w:val="00FD50DE"/>
    <w:rsid w:val="00FD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A5927"/>
  <w15:chartTrackingRefBased/>
  <w15:docId w15:val="{9C75FE48-AF76-4369-A16D-1F7C4B23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124"/>
    <w:rPr>
      <w:sz w:val="26"/>
    </w:rPr>
  </w:style>
  <w:style w:type="paragraph" w:styleId="Heading1">
    <w:name w:val="heading 1"/>
    <w:basedOn w:val="Normal"/>
    <w:next w:val="Normal"/>
    <w:link w:val="Heading1Char"/>
    <w:uiPriority w:val="9"/>
    <w:qFormat/>
    <w:rsid w:val="00D04106"/>
    <w:pPr>
      <w:keepNext/>
      <w:keepLines/>
      <w:spacing w:before="240" w:after="0"/>
      <w:outlineLvl w:val="0"/>
    </w:pPr>
    <w:rPr>
      <w:rFonts w:asciiTheme="majorHAnsi" w:eastAsiaTheme="majorEastAsia" w:hAnsiTheme="majorHAnsi"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DA46AA"/>
    <w:pPr>
      <w:keepNext/>
      <w:keepLines/>
      <w:spacing w:before="40" w:after="0"/>
      <w:outlineLvl w:val="1"/>
    </w:pPr>
    <w:rPr>
      <w:rFonts w:asciiTheme="majorHAnsi" w:eastAsiaTheme="majorEastAsia" w:hAnsiTheme="majorHAnsi" w:cstheme="majorBidi"/>
      <w:b/>
      <w:color w:val="1F3864"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106"/>
    <w:rPr>
      <w:rFonts w:asciiTheme="majorHAnsi" w:eastAsiaTheme="majorEastAsia" w:hAnsiTheme="majorHAnsi" w:cstheme="majorBidi"/>
      <w:b/>
      <w:color w:val="1F3864" w:themeColor="accent1" w:themeShade="80"/>
      <w:sz w:val="32"/>
      <w:szCs w:val="32"/>
    </w:rPr>
  </w:style>
  <w:style w:type="character" w:customStyle="1" w:styleId="Heading2Char">
    <w:name w:val="Heading 2 Char"/>
    <w:basedOn w:val="DefaultParagraphFont"/>
    <w:link w:val="Heading2"/>
    <w:uiPriority w:val="9"/>
    <w:rsid w:val="00DA46AA"/>
    <w:rPr>
      <w:rFonts w:asciiTheme="majorHAnsi" w:eastAsiaTheme="majorEastAsia" w:hAnsiTheme="majorHAnsi" w:cstheme="majorBidi"/>
      <w:b/>
      <w:color w:val="1F3864" w:themeColor="accent1" w:themeShade="80"/>
      <w:sz w:val="26"/>
      <w:szCs w:val="26"/>
    </w:rPr>
  </w:style>
  <w:style w:type="paragraph" w:styleId="ListParagraph">
    <w:name w:val="List Paragraph"/>
    <w:basedOn w:val="Normal"/>
    <w:uiPriority w:val="34"/>
    <w:qFormat/>
    <w:rsid w:val="00FD7891"/>
    <w:pPr>
      <w:ind w:left="720"/>
      <w:contextualSpacing/>
    </w:pPr>
  </w:style>
  <w:style w:type="paragraph" w:styleId="Header">
    <w:name w:val="header"/>
    <w:basedOn w:val="Normal"/>
    <w:link w:val="HeaderChar"/>
    <w:uiPriority w:val="99"/>
    <w:unhideWhenUsed/>
    <w:rsid w:val="00124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5F"/>
    <w:rPr>
      <w:sz w:val="24"/>
    </w:rPr>
  </w:style>
  <w:style w:type="paragraph" w:styleId="Footer">
    <w:name w:val="footer"/>
    <w:basedOn w:val="Normal"/>
    <w:link w:val="FooterChar"/>
    <w:uiPriority w:val="99"/>
    <w:unhideWhenUsed/>
    <w:rsid w:val="00124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5F"/>
    <w:rPr>
      <w:sz w:val="24"/>
    </w:rPr>
  </w:style>
  <w:style w:type="paragraph" w:styleId="IntenseQuote">
    <w:name w:val="Intense Quote"/>
    <w:basedOn w:val="Normal"/>
    <w:next w:val="Normal"/>
    <w:link w:val="IntenseQuoteChar"/>
    <w:uiPriority w:val="30"/>
    <w:qFormat/>
    <w:rsid w:val="00A65861"/>
    <w:pPr>
      <w:pBdr>
        <w:top w:val="single" w:sz="4" w:space="10" w:color="4472C4" w:themeColor="accent1"/>
        <w:bottom w:val="single" w:sz="4" w:space="10" w:color="4472C4" w:themeColor="accent1"/>
      </w:pBdr>
      <w:spacing w:before="120" w:after="240" w:line="240" w:lineRule="auto"/>
      <w:ind w:left="864" w:right="864"/>
    </w:pPr>
    <w:rPr>
      <w:rFonts w:ascii="Arial" w:hAnsi="Arial"/>
      <w:b/>
      <w:i/>
      <w:iCs/>
      <w:color w:val="1F3864" w:themeColor="accent1" w:themeShade="80"/>
    </w:rPr>
  </w:style>
  <w:style w:type="character" w:customStyle="1" w:styleId="IntenseQuoteChar">
    <w:name w:val="Intense Quote Char"/>
    <w:basedOn w:val="DefaultParagraphFont"/>
    <w:link w:val="IntenseQuote"/>
    <w:uiPriority w:val="30"/>
    <w:rsid w:val="00A65861"/>
    <w:rPr>
      <w:rFonts w:ascii="Arial" w:hAnsi="Arial"/>
      <w:b/>
      <w:i/>
      <w:iCs/>
      <w:color w:val="1F3864" w:themeColor="accent1" w:themeShade="80"/>
      <w:sz w:val="26"/>
    </w:rPr>
  </w:style>
  <w:style w:type="character" w:styleId="Hyperlink">
    <w:name w:val="Hyperlink"/>
    <w:basedOn w:val="DefaultParagraphFont"/>
    <w:uiPriority w:val="99"/>
    <w:unhideWhenUsed/>
    <w:rsid w:val="00B87C52"/>
    <w:rPr>
      <w:color w:val="0563C1" w:themeColor="hyperlink"/>
      <w:u w:val="single"/>
    </w:rPr>
  </w:style>
  <w:style w:type="character" w:styleId="UnresolvedMention">
    <w:name w:val="Unresolved Mention"/>
    <w:basedOn w:val="DefaultParagraphFont"/>
    <w:uiPriority w:val="99"/>
    <w:semiHidden/>
    <w:unhideWhenUsed/>
    <w:rsid w:val="00B8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Ainfo.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r>
              <a:rPr lang="en-US" sz="1300" b="1">
                <a:solidFill>
                  <a:sysClr val="windowText" lastClr="000000"/>
                </a:solidFill>
              </a:rPr>
              <a:t>Rating Importance of Need for Information or Training: Telephone Interviews</a:t>
            </a:r>
          </a:p>
        </c:rich>
      </c:tx>
      <c:overlay val="0"/>
      <c:spPr>
        <a:noFill/>
        <a:ln>
          <a:noFill/>
        </a:ln>
        <a:effectLst/>
      </c:spPr>
      <c:txPr>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Very Important</c:v>
                </c:pt>
              </c:strCache>
            </c:strRef>
          </c:tx>
          <c:spPr>
            <a:solidFill>
              <a:schemeClr val="accent1">
                <a:lumMod val="75000"/>
              </a:schemeClr>
            </a:solidFill>
            <a:ln>
              <a:noFill/>
            </a:ln>
            <a:effectLst/>
          </c:spPr>
          <c:invertIfNegative val="0"/>
          <c:cat>
            <c:strRef>
              <c:f>Sheet1!$A$2:$A$13</c:f>
              <c:strCache>
                <c:ptCount val="12"/>
                <c:pt idx="0">
                  <c:v>Inclusive Emergency / Disaster Preparedness</c:v>
                </c:pt>
                <c:pt idx="1">
                  <c:v>Creating Disability Employee Resource Group</c:v>
                </c:pt>
                <c:pt idx="2">
                  <c:v>Addressing Employee Performance Issues</c:v>
                </c:pt>
                <c:pt idx="3">
                  <c:v>Understanding Interviewing Requirements</c:v>
                </c:pt>
                <c:pt idx="4">
                  <c:v>Understanding Business Trends in Access</c:v>
                </c:pt>
                <c:pt idx="5">
                  <c:v>Improving Digital Access, External and Internal</c:v>
                </c:pt>
                <c:pt idx="6">
                  <c:v>Making Talent Acquisition More Accessible</c:v>
                </c:pt>
                <c:pt idx="7">
                  <c:v>Managing FMLA, ADA, Workers' Comp Interplay</c:v>
                </c:pt>
                <c:pt idx="8">
                  <c:v>Increasing Disability Self-Identification</c:v>
                </c:pt>
                <c:pt idx="9">
                  <c:v>Funding, Leadership for Centralized Accommodations</c:v>
                </c:pt>
                <c:pt idx="10">
                  <c:v>Creating Centralized Accommodation Process</c:v>
                </c:pt>
                <c:pt idx="11">
                  <c:v>Creating Reasonable Accommodation Strategy</c:v>
                </c:pt>
              </c:strCache>
            </c:strRef>
          </c:cat>
          <c:val>
            <c:numRef>
              <c:f>Sheet1!$B$2:$B$13</c:f>
              <c:numCache>
                <c:formatCode>General</c:formatCode>
                <c:ptCount val="12"/>
                <c:pt idx="0">
                  <c:v>63</c:v>
                </c:pt>
                <c:pt idx="1">
                  <c:v>37</c:v>
                </c:pt>
                <c:pt idx="2">
                  <c:v>63</c:v>
                </c:pt>
                <c:pt idx="3">
                  <c:v>84</c:v>
                </c:pt>
                <c:pt idx="4">
                  <c:v>79</c:v>
                </c:pt>
                <c:pt idx="5">
                  <c:v>63</c:v>
                </c:pt>
                <c:pt idx="6">
                  <c:v>63</c:v>
                </c:pt>
                <c:pt idx="7">
                  <c:v>32</c:v>
                </c:pt>
                <c:pt idx="8">
                  <c:v>84</c:v>
                </c:pt>
                <c:pt idx="9">
                  <c:v>16</c:v>
                </c:pt>
                <c:pt idx="10">
                  <c:v>42</c:v>
                </c:pt>
                <c:pt idx="11">
                  <c:v>58</c:v>
                </c:pt>
              </c:numCache>
            </c:numRef>
          </c:val>
          <c:extLst>
            <c:ext xmlns:c16="http://schemas.microsoft.com/office/drawing/2014/chart" uri="{C3380CC4-5D6E-409C-BE32-E72D297353CC}">
              <c16:uniqueId val="{00000000-F026-434E-A4C9-86D796FF3C8A}"/>
            </c:ext>
          </c:extLst>
        </c:ser>
        <c:ser>
          <c:idx val="1"/>
          <c:order val="1"/>
          <c:tx>
            <c:strRef>
              <c:f>Sheet1!$C$1</c:f>
              <c:strCache>
                <c:ptCount val="1"/>
                <c:pt idx="0">
                  <c:v>Not Important</c:v>
                </c:pt>
              </c:strCache>
            </c:strRef>
          </c:tx>
          <c:spPr>
            <a:solidFill>
              <a:srgbClr val="FF4747"/>
            </a:solidFill>
            <a:ln>
              <a:noFill/>
            </a:ln>
            <a:effectLst/>
          </c:spPr>
          <c:invertIfNegative val="0"/>
          <c:cat>
            <c:strRef>
              <c:f>Sheet1!$A$2:$A$13</c:f>
              <c:strCache>
                <c:ptCount val="12"/>
                <c:pt idx="0">
                  <c:v>Inclusive Emergency / Disaster Preparedness</c:v>
                </c:pt>
                <c:pt idx="1">
                  <c:v>Creating Disability Employee Resource Group</c:v>
                </c:pt>
                <c:pt idx="2">
                  <c:v>Addressing Employee Performance Issues</c:v>
                </c:pt>
                <c:pt idx="3">
                  <c:v>Understanding Interviewing Requirements</c:v>
                </c:pt>
                <c:pt idx="4">
                  <c:v>Understanding Business Trends in Access</c:v>
                </c:pt>
                <c:pt idx="5">
                  <c:v>Improving Digital Access, External and Internal</c:v>
                </c:pt>
                <c:pt idx="6">
                  <c:v>Making Talent Acquisition More Accessible</c:v>
                </c:pt>
                <c:pt idx="7">
                  <c:v>Managing FMLA, ADA, Workers' Comp Interplay</c:v>
                </c:pt>
                <c:pt idx="8">
                  <c:v>Increasing Disability Self-Identification</c:v>
                </c:pt>
                <c:pt idx="9">
                  <c:v>Funding, Leadership for Centralized Accommodations</c:v>
                </c:pt>
                <c:pt idx="10">
                  <c:v>Creating Centralized Accommodation Process</c:v>
                </c:pt>
                <c:pt idx="11">
                  <c:v>Creating Reasonable Accommodation Strategy</c:v>
                </c:pt>
              </c:strCache>
            </c:strRef>
          </c:cat>
          <c:val>
            <c:numRef>
              <c:f>Sheet1!$C$2:$C$13</c:f>
              <c:numCache>
                <c:formatCode>General</c:formatCode>
                <c:ptCount val="12"/>
                <c:pt idx="0">
                  <c:v>37</c:v>
                </c:pt>
                <c:pt idx="1">
                  <c:v>63</c:v>
                </c:pt>
                <c:pt idx="2">
                  <c:v>37</c:v>
                </c:pt>
                <c:pt idx="3">
                  <c:v>11</c:v>
                </c:pt>
                <c:pt idx="4">
                  <c:v>21</c:v>
                </c:pt>
                <c:pt idx="5">
                  <c:v>37</c:v>
                </c:pt>
                <c:pt idx="6">
                  <c:v>37</c:v>
                </c:pt>
                <c:pt idx="7">
                  <c:v>68</c:v>
                </c:pt>
                <c:pt idx="8">
                  <c:v>16</c:v>
                </c:pt>
                <c:pt idx="9">
                  <c:v>84</c:v>
                </c:pt>
                <c:pt idx="10">
                  <c:v>58</c:v>
                </c:pt>
                <c:pt idx="11">
                  <c:v>42</c:v>
                </c:pt>
              </c:numCache>
            </c:numRef>
          </c:val>
          <c:extLst>
            <c:ext xmlns:c16="http://schemas.microsoft.com/office/drawing/2014/chart" uri="{C3380CC4-5D6E-409C-BE32-E72D297353CC}">
              <c16:uniqueId val="{00000001-F026-434E-A4C9-86D796FF3C8A}"/>
            </c:ext>
          </c:extLst>
        </c:ser>
        <c:dLbls>
          <c:showLegendKey val="0"/>
          <c:showVal val="0"/>
          <c:showCatName val="0"/>
          <c:showSerName val="0"/>
          <c:showPercent val="0"/>
          <c:showBubbleSize val="0"/>
        </c:dLbls>
        <c:gapWidth val="182"/>
        <c:axId val="565041488"/>
        <c:axId val="565041160"/>
      </c:barChart>
      <c:catAx>
        <c:axId val="56504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65041160"/>
        <c:crosses val="autoZero"/>
        <c:auto val="1"/>
        <c:lblAlgn val="ctr"/>
        <c:lblOffset val="100"/>
        <c:noMultiLvlLbl val="0"/>
      </c:catAx>
      <c:valAx>
        <c:axId val="565041160"/>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Percentage of Responses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04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Horton</dc:creator>
  <cp:keywords/>
  <dc:description/>
  <cp:lastModifiedBy>Nancy Horton</cp:lastModifiedBy>
  <cp:revision>18</cp:revision>
  <cp:lastPrinted>2020-06-16T10:47:00Z</cp:lastPrinted>
  <dcterms:created xsi:type="dcterms:W3CDTF">2020-02-07T15:37:00Z</dcterms:created>
  <dcterms:modified xsi:type="dcterms:W3CDTF">2020-06-16T10:48:00Z</dcterms:modified>
</cp:coreProperties>
</file>