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D37C0" w14:textId="67348D36" w:rsidR="00311710" w:rsidRPr="00031070" w:rsidRDefault="0044218B" w:rsidP="008152D9">
      <w:pPr>
        <w:pStyle w:val="Heading1"/>
      </w:pPr>
      <w:bookmarkStart w:id="0" w:name="_GoBack"/>
      <w:bookmarkEnd w:id="0"/>
      <w:r w:rsidRPr="00031070">
        <w:t xml:space="preserve">Region 3 ADA Title II </w:t>
      </w:r>
      <w:r w:rsidR="00311710">
        <w:t>C</w:t>
      </w:r>
      <w:r w:rsidRPr="00031070">
        <w:t xml:space="preserve">ompliance </w:t>
      </w:r>
      <w:r w:rsidR="00311710">
        <w:t>S</w:t>
      </w:r>
      <w:r w:rsidRPr="00031070">
        <w:t xml:space="preserve">urvey of </w:t>
      </w:r>
      <w:r w:rsidR="00311710">
        <w:t>C</w:t>
      </w:r>
      <w:r w:rsidR="008152D9">
        <w:t>ounty-L</w:t>
      </w:r>
      <w:r w:rsidRPr="00031070">
        <w:t xml:space="preserve">evel </w:t>
      </w:r>
      <w:r w:rsidR="00311710">
        <w:t>J</w:t>
      </w:r>
      <w:r w:rsidRPr="00031070">
        <w:t>urisdictions</w:t>
      </w:r>
      <w:r w:rsidR="008152D9">
        <w:br/>
      </w:r>
      <w:r w:rsidR="00311710">
        <w:t>Mid-Atlantic ADA Center</w:t>
      </w:r>
    </w:p>
    <w:p w14:paraId="60471176" w14:textId="242358AD" w:rsidR="00E048E1" w:rsidRPr="00031070" w:rsidRDefault="004F09A8" w:rsidP="008152D9">
      <w:r w:rsidRPr="00031070">
        <w:t xml:space="preserve">The </w:t>
      </w:r>
      <w:r w:rsidR="001618D5" w:rsidRPr="00031070">
        <w:t xml:space="preserve">ADA Region 3 </w:t>
      </w:r>
      <w:r w:rsidRPr="00031070">
        <w:t xml:space="preserve">Title II </w:t>
      </w:r>
      <w:r w:rsidR="00B45593">
        <w:t>study</w:t>
      </w:r>
      <w:r w:rsidRPr="00031070">
        <w:t xml:space="preserve"> was designed to elicit responses from county-level ADA Coordinators regarding their experiences with implementation of Title II of the ADA</w:t>
      </w:r>
      <w:r w:rsidR="00B45593">
        <w:t xml:space="preserve"> using a web-based e-survey</w:t>
      </w:r>
      <w:r w:rsidRPr="00031070">
        <w:t xml:space="preserve">. The Mid-Atlantic Region 3 staff developed the survey items, and consulted with key informants throughout the state for feedback on clarity and consistency of the items.  The </w:t>
      </w:r>
      <w:r w:rsidR="003D5943" w:rsidRPr="00031070">
        <w:t xml:space="preserve">final </w:t>
      </w:r>
      <w:r w:rsidRPr="00031070">
        <w:t>survey included</w:t>
      </w:r>
      <w:r w:rsidR="003D5943" w:rsidRPr="00031070">
        <w:t xml:space="preserve"> 25</w:t>
      </w:r>
      <w:r w:rsidRPr="00031070">
        <w:t xml:space="preserve"> items across four areas: 1) background information on the jurisdiction and the ADA Coordinator</w:t>
      </w:r>
      <w:r w:rsidR="001618D5" w:rsidRPr="00031070">
        <w:t>/respondent</w:t>
      </w:r>
      <w:r w:rsidRPr="00031070">
        <w:t xml:space="preserve">; 2) compliance with five administrative requirements of the ADA; 3) perceived challenges in addressing the four Title II components; </w:t>
      </w:r>
      <w:r w:rsidR="00E048E1" w:rsidRPr="00031070">
        <w:t xml:space="preserve">and 4) training resources and training needs. </w:t>
      </w:r>
      <w:r w:rsidR="003D5943" w:rsidRPr="00031070">
        <w:t xml:space="preserve">The survey was fielded from October, 2018 through January, 2019. </w:t>
      </w:r>
    </w:p>
    <w:p w14:paraId="4154D4E9" w14:textId="49840012" w:rsidR="00B45593" w:rsidRPr="008152D9" w:rsidRDefault="00B45593" w:rsidP="00CE272A">
      <w:pPr>
        <w:pStyle w:val="Heading2"/>
      </w:pPr>
      <w:r w:rsidRPr="008152D9">
        <w:t>Methods</w:t>
      </w:r>
    </w:p>
    <w:p w14:paraId="692D8DEE" w14:textId="3FD9E3E4" w:rsidR="00B45593" w:rsidRPr="008152D9" w:rsidRDefault="00B45593" w:rsidP="008152D9">
      <w:pPr>
        <w:pStyle w:val="Heading3"/>
      </w:pPr>
      <w:r w:rsidRPr="008152D9">
        <w:t>Participants</w:t>
      </w:r>
    </w:p>
    <w:p w14:paraId="49C56D9E" w14:textId="3826DFCF" w:rsidR="00E82FC2" w:rsidRPr="00031070" w:rsidRDefault="00331C99" w:rsidP="003D3C50">
      <w:pPr>
        <w:rPr>
          <w:rFonts w:ascii="Times New Roman" w:hAnsi="Times New Roman"/>
        </w:rPr>
      </w:pPr>
      <w:r w:rsidRPr="00031070">
        <w:t xml:space="preserve">The survey sample was derived by identifying all of the counties in Region </w:t>
      </w:r>
      <w:r w:rsidR="00F01BB6">
        <w:t>3</w:t>
      </w:r>
      <w:r w:rsidRPr="00031070">
        <w:t xml:space="preserve"> (n =</w:t>
      </w:r>
      <w:r w:rsidR="003D3C50" w:rsidRPr="00031070">
        <w:t>245</w:t>
      </w:r>
      <w:r w:rsidRPr="00031070">
        <w:t xml:space="preserve">), and </w:t>
      </w:r>
      <w:r w:rsidR="00F01BB6">
        <w:t>i</w:t>
      </w:r>
      <w:r w:rsidRPr="00031070">
        <w:t>dentifying contact information for the designated ADA coordinators in th</w:t>
      </w:r>
      <w:r w:rsidR="008152D9">
        <w:t>ose</w:t>
      </w:r>
      <w:r w:rsidRPr="00031070">
        <w:t xml:space="preserve"> jurisdiction</w:t>
      </w:r>
      <w:r w:rsidR="008152D9">
        <w:t xml:space="preserve">s. </w:t>
      </w:r>
      <w:r w:rsidRPr="00031070">
        <w:t>Multiple efforts were made to identify the designated ADA coordinator</w:t>
      </w:r>
      <w:r w:rsidR="008152D9">
        <w:t>s</w:t>
      </w:r>
      <w:r w:rsidRPr="00031070">
        <w:t xml:space="preserve">, including website searching, phone calls, and emails. </w:t>
      </w:r>
      <w:r w:rsidR="00E82FC2" w:rsidRPr="00031070">
        <w:t xml:space="preserve">Our efforts yielded valid email addresses across the </w:t>
      </w:r>
      <w:r w:rsidR="0008336A">
        <w:t>six</w:t>
      </w:r>
      <w:r w:rsidR="00E82FC2" w:rsidRPr="00031070">
        <w:t xml:space="preserve"> jurisdictions for 171 identified ADA coordinators, </w:t>
      </w:r>
      <w:r w:rsidR="00C01FF4" w:rsidRPr="00031070">
        <w:t>including</w:t>
      </w:r>
      <w:r w:rsidR="00E82FC2" w:rsidRPr="00031070">
        <w:t xml:space="preserve"> some of the larger </w:t>
      </w:r>
      <w:r w:rsidR="008152D9">
        <w:t>c</w:t>
      </w:r>
      <w:r w:rsidR="00E82FC2" w:rsidRPr="00031070">
        <w:t>ounties</w:t>
      </w:r>
      <w:r w:rsidR="008152D9">
        <w:t xml:space="preserve"> and </w:t>
      </w:r>
      <w:r w:rsidR="00E82FC2" w:rsidRPr="00031070">
        <w:t>metropolitan areas (such as Philadelphia</w:t>
      </w:r>
      <w:r w:rsidR="008152D9">
        <w:t xml:space="preserve"> and </w:t>
      </w:r>
      <w:r w:rsidR="00E82FC2" w:rsidRPr="00031070">
        <w:t>Washington</w:t>
      </w:r>
      <w:r w:rsidR="008152D9">
        <w:t>,</w:t>
      </w:r>
      <w:r w:rsidR="00E82FC2" w:rsidRPr="00031070">
        <w:t xml:space="preserve"> DC</w:t>
      </w:r>
      <w:r w:rsidR="008152D9">
        <w:t>)</w:t>
      </w:r>
      <w:r w:rsidR="00E82FC2" w:rsidRPr="00031070">
        <w:t xml:space="preserve"> </w:t>
      </w:r>
      <w:r w:rsidR="00C01FF4" w:rsidRPr="00031070">
        <w:t xml:space="preserve">which </w:t>
      </w:r>
      <w:r w:rsidR="00E82FC2" w:rsidRPr="00031070">
        <w:t xml:space="preserve">had more than one ADA coordinator. In total, 90 surveys were returned, with 84 sufficiently completed for analyses, indicating a response rate (of known/identifiable ADA coordinators in the </w:t>
      </w:r>
      <w:r w:rsidR="000D1C3C">
        <w:t>r</w:t>
      </w:r>
      <w:r w:rsidR="00E82FC2" w:rsidRPr="00031070">
        <w:t xml:space="preserve">egion) of 84/171 or about 50% for those counties where an ADA coordinator could be identified. </w:t>
      </w:r>
    </w:p>
    <w:p w14:paraId="5A0842C0" w14:textId="6217C0C4" w:rsidR="003D3C50" w:rsidRDefault="00B45593" w:rsidP="008152D9">
      <w:pPr>
        <w:pStyle w:val="Heading3"/>
      </w:pPr>
      <w:r>
        <w:t>Instrument</w:t>
      </w:r>
    </w:p>
    <w:p w14:paraId="22F3A713" w14:textId="0BF3E710" w:rsidR="00B07334" w:rsidRDefault="003D3C50" w:rsidP="003D3C50">
      <w:pPr>
        <w:rPr>
          <w:rFonts w:ascii="Times New Roman" w:hAnsi="Times New Roman"/>
          <w:i/>
        </w:rPr>
      </w:pPr>
      <w:r w:rsidRPr="00031070">
        <w:rPr>
          <w:i/>
        </w:rPr>
        <w:t>Table 1</w:t>
      </w:r>
      <w:r w:rsidRPr="00031070">
        <w:t xml:space="preserve"> shows how the survey questions addressing compliance aligned with five administr</w:t>
      </w:r>
      <w:r w:rsidR="002F73BB">
        <w:t xml:space="preserve">ative requirements of the ADA. </w:t>
      </w:r>
    </w:p>
    <w:p w14:paraId="6AED337C" w14:textId="1C3D9A36" w:rsidR="003D3C50" w:rsidRPr="008152D9" w:rsidRDefault="008152D9" w:rsidP="008152D9">
      <w:pPr>
        <w:pStyle w:val="TableHeading"/>
      </w:pPr>
      <w:r>
        <w:t>Table 1: Title II Requirements A</w:t>
      </w:r>
      <w:r w:rsidR="003D3C50" w:rsidRPr="008152D9">
        <w:t>ligned with Survey Items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3C50" w:rsidRPr="00031070" w14:paraId="192A6E88" w14:textId="77777777" w:rsidTr="00E95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E75FCD" w14:textId="77777777" w:rsidR="003D3C50" w:rsidRPr="00216884" w:rsidRDefault="003D3C50" w:rsidP="00091FF0">
            <w:pPr>
              <w:rPr>
                <w:rFonts w:cstheme="minorHAnsi"/>
              </w:rPr>
            </w:pPr>
            <w:r w:rsidRPr="00216884">
              <w:rPr>
                <w:rFonts w:cstheme="minorHAnsi"/>
              </w:rPr>
              <w:t>Title II Requirement/Component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F52DE64" w14:textId="77777777" w:rsidR="003D3C50" w:rsidRPr="00216884" w:rsidRDefault="003D3C50" w:rsidP="00091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16884">
              <w:rPr>
                <w:rFonts w:cstheme="minorHAnsi"/>
              </w:rPr>
              <w:t>Survey Question</w:t>
            </w:r>
          </w:p>
        </w:tc>
      </w:tr>
      <w:tr w:rsidR="003D3C50" w:rsidRPr="00031070" w14:paraId="08333B8A" w14:textId="77777777" w:rsidTr="00E21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BDF26D5" w14:textId="77777777" w:rsidR="003D3C50" w:rsidRPr="00216884" w:rsidRDefault="003D3C50" w:rsidP="00D06251">
            <w:pPr>
              <w:ind w:left="360"/>
              <w:rPr>
                <w:rFonts w:cstheme="minorHAnsi"/>
              </w:rPr>
            </w:pPr>
            <w:r w:rsidRPr="00216884">
              <w:rPr>
                <w:rFonts w:cstheme="minorHAnsi"/>
              </w:rPr>
              <w:t>ADA Coordinator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AE1818A" w14:textId="77777777" w:rsidR="003D3C50" w:rsidRPr="00216884" w:rsidRDefault="003D3C50" w:rsidP="000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884">
              <w:rPr>
                <w:rFonts w:cstheme="minorHAnsi"/>
                <w:b/>
              </w:rPr>
              <w:t>Does your agency have a designated employee responsible for ADA compliance issues?</w:t>
            </w:r>
          </w:p>
        </w:tc>
      </w:tr>
      <w:tr w:rsidR="003D3C50" w:rsidRPr="00031070" w14:paraId="6B727C55" w14:textId="77777777" w:rsidTr="00964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7FDDA6" w14:textId="539A86BE" w:rsidR="003D3C50" w:rsidRPr="00216884" w:rsidRDefault="00D06251" w:rsidP="00D06251">
            <w:pPr>
              <w:ind w:left="360"/>
              <w:rPr>
                <w:rFonts w:cstheme="minorHAnsi"/>
              </w:rPr>
            </w:pPr>
            <w:r w:rsidRPr="00216884">
              <w:rPr>
                <w:rFonts w:cstheme="minorHAnsi"/>
              </w:rPr>
              <w:t>Self-E</w:t>
            </w:r>
            <w:r w:rsidR="003D3C50" w:rsidRPr="00216884">
              <w:rPr>
                <w:rFonts w:cstheme="minorHAnsi"/>
              </w:rPr>
              <w:t>valuation</w:t>
            </w:r>
          </w:p>
        </w:tc>
        <w:tc>
          <w:tcPr>
            <w:tcW w:w="4675" w:type="dxa"/>
          </w:tcPr>
          <w:p w14:paraId="3466EBD8" w14:textId="77777777" w:rsidR="003D3C50" w:rsidRPr="00216884" w:rsidRDefault="003D3C50" w:rsidP="000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884">
              <w:rPr>
                <w:rFonts w:cstheme="minorHAnsi"/>
                <w:b/>
              </w:rPr>
              <w:t>Has your agency completed an ADA self-evaluation of your policies and programs?</w:t>
            </w:r>
          </w:p>
        </w:tc>
      </w:tr>
      <w:tr w:rsidR="003D3C50" w:rsidRPr="00031070" w14:paraId="3C71DEE4" w14:textId="77777777" w:rsidTr="0096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2218B1EE" w14:textId="110E190C" w:rsidR="003D3C50" w:rsidRPr="00216884" w:rsidRDefault="00D06251" w:rsidP="00D06251">
            <w:pPr>
              <w:ind w:left="360"/>
              <w:rPr>
                <w:rFonts w:cstheme="minorHAnsi"/>
              </w:rPr>
            </w:pPr>
            <w:r w:rsidRPr="00216884">
              <w:rPr>
                <w:rFonts w:cstheme="minorHAnsi"/>
              </w:rPr>
              <w:lastRenderedPageBreak/>
              <w:t>Transition P</w:t>
            </w:r>
            <w:r w:rsidR="003D3C50" w:rsidRPr="00216884">
              <w:rPr>
                <w:rFonts w:cstheme="minorHAnsi"/>
              </w:rPr>
              <w:t>lan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86EC46A" w14:textId="77777777" w:rsidR="003D3C50" w:rsidRPr="00216884" w:rsidRDefault="003D3C50" w:rsidP="000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884">
              <w:rPr>
                <w:rFonts w:cstheme="minorHAnsi"/>
                <w:b/>
              </w:rPr>
              <w:t>Has your agency ever completed a transition plan to address structural changes needed to existing facilities?</w:t>
            </w:r>
          </w:p>
        </w:tc>
      </w:tr>
      <w:tr w:rsidR="003D3C50" w:rsidRPr="00031070" w14:paraId="4D127618" w14:textId="77777777" w:rsidTr="00964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809622" w14:textId="77777777" w:rsidR="003D3C50" w:rsidRPr="00216884" w:rsidRDefault="003D3C50" w:rsidP="00D06251">
            <w:pPr>
              <w:ind w:left="360"/>
              <w:rPr>
                <w:rFonts w:cstheme="minorHAnsi"/>
              </w:rPr>
            </w:pPr>
            <w:r w:rsidRPr="00216884">
              <w:rPr>
                <w:rFonts w:cstheme="minorHAnsi"/>
              </w:rPr>
              <w:t>Notification Procedure</w:t>
            </w:r>
          </w:p>
        </w:tc>
        <w:tc>
          <w:tcPr>
            <w:tcW w:w="4675" w:type="dxa"/>
          </w:tcPr>
          <w:p w14:paraId="1B0C973B" w14:textId="77777777" w:rsidR="003D3C50" w:rsidRPr="00216884" w:rsidRDefault="003D3C50" w:rsidP="00091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884">
              <w:rPr>
                <w:rFonts w:cstheme="minorHAnsi"/>
                <w:b/>
              </w:rPr>
              <w:t>How does your agency provide notice to the public about the ADA?</w:t>
            </w:r>
          </w:p>
        </w:tc>
      </w:tr>
      <w:tr w:rsidR="003D3C50" w:rsidRPr="00031070" w14:paraId="6A95ECF2" w14:textId="77777777" w:rsidTr="0096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58495161" w14:textId="77777777" w:rsidR="003D3C50" w:rsidRPr="00216884" w:rsidRDefault="003D3C50" w:rsidP="00D06251">
            <w:pPr>
              <w:ind w:left="360"/>
              <w:rPr>
                <w:rFonts w:cstheme="minorHAnsi"/>
              </w:rPr>
            </w:pPr>
            <w:r w:rsidRPr="00216884">
              <w:rPr>
                <w:rFonts w:cstheme="minorHAnsi"/>
              </w:rPr>
              <w:t>Complaint Procedure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FC3EE34" w14:textId="77777777" w:rsidR="003D3C50" w:rsidRPr="00216884" w:rsidRDefault="003D3C50" w:rsidP="00091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16884">
              <w:rPr>
                <w:rFonts w:cstheme="minorHAnsi"/>
                <w:b/>
              </w:rPr>
              <w:t>Does your agency have a formal ADA-related grievance or complaint procedure?</w:t>
            </w:r>
          </w:p>
        </w:tc>
      </w:tr>
    </w:tbl>
    <w:p w14:paraId="012168F3" w14:textId="7A25A401" w:rsidR="00E32601" w:rsidRDefault="00E32601" w:rsidP="00E32601">
      <w:pPr>
        <w:rPr>
          <w:rFonts w:ascii="Times New Roman" w:hAnsi="Times New Roman"/>
          <w:i/>
        </w:rPr>
      </w:pPr>
      <w:r w:rsidRPr="00031070">
        <w:t>The survey also included items tapping respondent experiences with four categories of Title II compliance: Structural Accessibility, Effective Communication, Reasonable Modifications, and Nondiscrimination.</w:t>
      </w:r>
      <w:r>
        <w:t xml:space="preserve"> Respondents were asked to rate the frequency of receiving complaints in these areas (scale of 1 – 3, ranging from “</w:t>
      </w:r>
      <w:r w:rsidR="00FA7494">
        <w:t>never</w:t>
      </w:r>
      <w:r>
        <w:t>” to “numerous</w:t>
      </w:r>
      <w:r w:rsidR="00FA7494">
        <w:t xml:space="preserve"> times a month</w:t>
      </w:r>
      <w:r>
        <w:t>”), and the degree of challenge in responding to them (scale of 1 – 3, ranging from “not challenging</w:t>
      </w:r>
      <w:r w:rsidR="00FA7494">
        <w:t xml:space="preserve"> at all</w:t>
      </w:r>
      <w:r>
        <w:t>” to “very challenging.”</w:t>
      </w:r>
    </w:p>
    <w:p w14:paraId="706EDD5A" w14:textId="18A16A40" w:rsidR="00B07334" w:rsidRPr="00B45593" w:rsidRDefault="00B07334" w:rsidP="00E32601">
      <w:pPr>
        <w:pStyle w:val="Heading2"/>
      </w:pPr>
      <w:r w:rsidRPr="00B45593">
        <w:t>Results</w:t>
      </w:r>
    </w:p>
    <w:p w14:paraId="1F237950" w14:textId="2389E1A6" w:rsidR="0008336A" w:rsidRPr="0008336A" w:rsidRDefault="0008336A" w:rsidP="00E32601">
      <w:pPr>
        <w:pStyle w:val="Heading3"/>
      </w:pPr>
      <w:r w:rsidRPr="0008336A">
        <w:t>Compliance with</w:t>
      </w:r>
      <w:r>
        <w:t xml:space="preserve"> the</w:t>
      </w:r>
      <w:r w:rsidR="00E32601">
        <w:t xml:space="preserve"> Five ADA R</w:t>
      </w:r>
      <w:r w:rsidRPr="0008336A">
        <w:t>equirements</w:t>
      </w:r>
    </w:p>
    <w:p w14:paraId="1C1A9F41" w14:textId="189BA1FE" w:rsidR="0046429F" w:rsidRPr="00B45593" w:rsidRDefault="000E3DD9" w:rsidP="00E32601">
      <w:r w:rsidRPr="00B45593">
        <w:rPr>
          <w:i/>
        </w:rPr>
        <w:t>Figure 1</w:t>
      </w:r>
      <w:r w:rsidRPr="00B45593">
        <w:t xml:space="preserve"> illustrates Region 3 </w:t>
      </w:r>
      <w:r w:rsidR="00BB6622" w:rsidRPr="00B45593">
        <w:t xml:space="preserve">county respondents’ </w:t>
      </w:r>
      <w:r w:rsidRPr="00B45593">
        <w:t xml:space="preserve">compliance with the </w:t>
      </w:r>
      <w:r w:rsidR="00BB6622" w:rsidRPr="00B45593">
        <w:t>five</w:t>
      </w:r>
      <w:r w:rsidRPr="00B45593">
        <w:t xml:space="preserve"> administrative requirements of Title II of the ADA</w:t>
      </w:r>
      <w:r w:rsidR="003D3C50" w:rsidRPr="00B45593">
        <w:t xml:space="preserve"> derived from the survey items identified in </w:t>
      </w:r>
      <w:r w:rsidR="003D3C50" w:rsidRPr="00B45593">
        <w:rPr>
          <w:i/>
        </w:rPr>
        <w:t>Table 1</w:t>
      </w:r>
      <w:r w:rsidR="0044218B" w:rsidRPr="00B45593">
        <w:rPr>
          <w:i/>
        </w:rPr>
        <w:t>.</w:t>
      </w:r>
      <w:r w:rsidR="0044218B" w:rsidRPr="00B45593">
        <w:t xml:space="preserve">  </w:t>
      </w:r>
    </w:p>
    <w:p w14:paraId="5416092F" w14:textId="77777777" w:rsidR="00D06251" w:rsidRDefault="00BB6622" w:rsidP="00E32601">
      <w:pPr>
        <w:pStyle w:val="TableHeading"/>
      </w:pPr>
      <w:r w:rsidRPr="00BB6622">
        <w:t>Figure</w:t>
      </w:r>
      <w:r w:rsidR="00E32601">
        <w:t xml:space="preserve"> 1: Percentage of </w:t>
      </w:r>
      <w:r w:rsidR="00D06251">
        <w:t xml:space="preserve">Respondents Indicating </w:t>
      </w:r>
      <w:r w:rsidR="00E32601">
        <w:t>Compliance with Title II R</w:t>
      </w:r>
      <w:r w:rsidRPr="00BB6622">
        <w:t>equirements</w:t>
      </w:r>
    </w:p>
    <w:p w14:paraId="0B230349" w14:textId="0B6F56B1" w:rsidR="003D3C50" w:rsidRDefault="00D06251" w:rsidP="00D06251">
      <w:r>
        <w:rPr>
          <w:noProof/>
        </w:rPr>
        <w:drawing>
          <wp:inline distT="0" distB="0" distL="0" distR="0" wp14:anchorId="495D7E25" wp14:editId="61FB9423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B6622" w:rsidRPr="00BB6622">
        <w:t xml:space="preserve"> </w:t>
      </w:r>
    </w:p>
    <w:p w14:paraId="7A592F31" w14:textId="6292E2D8" w:rsidR="00BB6622" w:rsidRPr="0008336A" w:rsidRDefault="000E3DD9" w:rsidP="0002651D">
      <w:r w:rsidRPr="00031070">
        <w:lastRenderedPageBreak/>
        <w:t xml:space="preserve">As </w:t>
      </w:r>
      <w:r w:rsidR="00331C99" w:rsidRPr="00031070">
        <w:rPr>
          <w:i/>
        </w:rPr>
        <w:t>Figure 1</w:t>
      </w:r>
      <w:r w:rsidR="00331C99" w:rsidRPr="00031070">
        <w:t xml:space="preserve"> illustrates</w:t>
      </w:r>
      <w:r w:rsidRPr="00031070">
        <w:t>,</w:t>
      </w:r>
      <w:r w:rsidR="00134306" w:rsidRPr="00031070">
        <w:t xml:space="preserve"> the overall compliance rate for the administrative requirements varied from a low of 52.5% for </w:t>
      </w:r>
      <w:r w:rsidR="003D3C50" w:rsidRPr="00031070">
        <w:t xml:space="preserve">having </w:t>
      </w:r>
      <w:r w:rsidR="00134306" w:rsidRPr="00031070">
        <w:t xml:space="preserve">a </w:t>
      </w:r>
      <w:r w:rsidR="003D3C50" w:rsidRPr="00031070">
        <w:t xml:space="preserve">county </w:t>
      </w:r>
      <w:r w:rsidR="00134306" w:rsidRPr="00031070">
        <w:t xml:space="preserve">Transition Plan to a high of 94% for having a designated ADA Coordinator. </w:t>
      </w:r>
      <w:r w:rsidRPr="00031070">
        <w:t xml:space="preserve"> </w:t>
      </w:r>
    </w:p>
    <w:p w14:paraId="36264B3C" w14:textId="41A7A2B9" w:rsidR="0044218B" w:rsidRPr="00031070" w:rsidRDefault="0002651D" w:rsidP="0002651D">
      <w:r>
        <w:t xml:space="preserve">We </w:t>
      </w:r>
      <w:r w:rsidR="0044218B" w:rsidRPr="00031070">
        <w:t xml:space="preserve">looked at compliance for all </w:t>
      </w:r>
      <w:r w:rsidR="003D5943" w:rsidRPr="00031070">
        <w:t>five</w:t>
      </w:r>
      <w:r w:rsidR="0044218B" w:rsidRPr="00031070">
        <w:t xml:space="preserve"> of the administrative components across Region </w:t>
      </w:r>
      <w:r w:rsidR="0008336A">
        <w:t>3</w:t>
      </w:r>
      <w:r w:rsidR="0044218B" w:rsidRPr="00031070">
        <w:t xml:space="preserve"> </w:t>
      </w:r>
      <w:r w:rsidR="003D3C50" w:rsidRPr="00031070">
        <w:t>counties by computing a variable called “Compliance” from the</w:t>
      </w:r>
      <w:r w:rsidR="00BB6622" w:rsidRPr="00031070">
        <w:t xml:space="preserve"> responses to items tapping the </w:t>
      </w:r>
      <w:r w:rsidR="003D3C50" w:rsidRPr="00031070">
        <w:t>five administrative requirements</w:t>
      </w:r>
      <w:r w:rsidR="0044218B" w:rsidRPr="00031070">
        <w:t xml:space="preserve">. </w:t>
      </w:r>
      <w:r w:rsidR="0044218B" w:rsidRPr="00031070">
        <w:rPr>
          <w:i/>
        </w:rPr>
        <w:t xml:space="preserve">Table </w:t>
      </w:r>
      <w:r w:rsidR="003D3C50" w:rsidRPr="00031070">
        <w:rPr>
          <w:i/>
        </w:rPr>
        <w:t xml:space="preserve">2 </w:t>
      </w:r>
      <w:r w:rsidR="0044218B" w:rsidRPr="00031070">
        <w:t xml:space="preserve">indicates the percentage of compliance with the five administrative requirements of Title II for </w:t>
      </w:r>
      <w:r w:rsidR="0060047E" w:rsidRPr="00031070">
        <w:t xml:space="preserve">all of the respondents. </w:t>
      </w:r>
      <w:r w:rsidR="001142FA" w:rsidRPr="00B07334">
        <w:rPr>
          <w:i/>
        </w:rPr>
        <w:t>Just over 31% of the county respondents to the Title I</w:t>
      </w:r>
      <w:r w:rsidR="003D5943" w:rsidRPr="00B07334">
        <w:rPr>
          <w:i/>
        </w:rPr>
        <w:t>I</w:t>
      </w:r>
      <w:r w:rsidR="001142FA" w:rsidRPr="00B07334">
        <w:rPr>
          <w:i/>
        </w:rPr>
        <w:t xml:space="preserve"> survey met all five of the administrative requirements</w:t>
      </w:r>
      <w:r w:rsidR="001142FA" w:rsidRPr="00031070">
        <w:t>; just over 2</w:t>
      </w:r>
      <w:r w:rsidR="00C71A28">
        <w:t>%</w:t>
      </w:r>
      <w:r w:rsidR="001142FA" w:rsidRPr="00031070">
        <w:t xml:space="preserve"> met none (0) of them. </w:t>
      </w:r>
    </w:p>
    <w:p w14:paraId="6342448B" w14:textId="7DEB138E" w:rsidR="0044218B" w:rsidRDefault="00331C99" w:rsidP="0002651D">
      <w:pPr>
        <w:pStyle w:val="TableHeading"/>
      </w:pPr>
      <w:r w:rsidRPr="00BB6622">
        <w:t xml:space="preserve">Table </w:t>
      </w:r>
      <w:r w:rsidR="003D3C50" w:rsidRPr="00BB6622">
        <w:t>2</w:t>
      </w:r>
      <w:r w:rsidRPr="00BB6622">
        <w:t xml:space="preserve">: Compliance with </w:t>
      </w:r>
      <w:r w:rsidR="003D5943" w:rsidRPr="00BB6622">
        <w:t xml:space="preserve">Five Title II </w:t>
      </w:r>
      <w:r w:rsidRPr="00BB6622">
        <w:t>Administrative Requirements</w:t>
      </w:r>
      <w:r w:rsidR="0002651D">
        <w:t xml:space="preserve"> Across A</w:t>
      </w:r>
      <w:r w:rsidR="001618D5" w:rsidRPr="00BB6622">
        <w:t xml:space="preserve">ll </w:t>
      </w:r>
      <w:r w:rsidR="0002651D">
        <w:t>J</w:t>
      </w:r>
      <w:r w:rsidR="001618D5" w:rsidRPr="00BB6622">
        <w:t>urisdictions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18B" w14:paraId="78B3FEFA" w14:textId="77777777" w:rsidTr="00E95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2F5496" w:themeFill="accent1" w:themeFillShade="BF"/>
          </w:tcPr>
          <w:p w14:paraId="2519FAEC" w14:textId="44A392F7" w:rsidR="0044218B" w:rsidRDefault="001142FA">
            <w:r>
              <w:t xml:space="preserve">Number of  </w:t>
            </w:r>
            <w:r w:rsidR="00331C99">
              <w:t>Title II requirements</w:t>
            </w:r>
            <w:r>
              <w:t xml:space="preserve"> met</w:t>
            </w:r>
          </w:p>
        </w:tc>
        <w:tc>
          <w:tcPr>
            <w:tcW w:w="4675" w:type="dxa"/>
            <w:shd w:val="clear" w:color="auto" w:fill="2F5496" w:themeFill="accent1" w:themeFillShade="BF"/>
          </w:tcPr>
          <w:p w14:paraId="70BC090C" w14:textId="310C07CB" w:rsidR="0044218B" w:rsidRDefault="001142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  <w:r w:rsidR="00331C99">
              <w:t xml:space="preserve"> compliance</w:t>
            </w:r>
            <w:r>
              <w:t xml:space="preserve"> </w:t>
            </w:r>
          </w:p>
        </w:tc>
      </w:tr>
      <w:tr w:rsidR="0044218B" w14:paraId="5575AAE3" w14:textId="77777777" w:rsidTr="0096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2C49B322" w14:textId="6ADB4F44" w:rsidR="0044218B" w:rsidRDefault="001142FA">
            <w:r>
              <w:t>Met 0 of the requirements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269F200" w14:textId="1B7E6F0D" w:rsidR="0044218B" w:rsidRPr="0002651D" w:rsidRDefault="001142FA" w:rsidP="00216884">
            <w:pPr>
              <w:tabs>
                <w:tab w:val="decimal" w:pos="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651D">
              <w:rPr>
                <w:b/>
              </w:rPr>
              <w:t>2.3%</w:t>
            </w:r>
          </w:p>
        </w:tc>
      </w:tr>
      <w:tr w:rsidR="0044218B" w14:paraId="366AB347" w14:textId="77777777" w:rsidTr="00026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29ABD8" w14:textId="5E9BBC9C" w:rsidR="0044218B" w:rsidRDefault="001142FA">
            <w:r>
              <w:t>Met 1 of the requirements</w:t>
            </w:r>
          </w:p>
        </w:tc>
        <w:tc>
          <w:tcPr>
            <w:tcW w:w="4675" w:type="dxa"/>
          </w:tcPr>
          <w:p w14:paraId="3FB24E18" w14:textId="353D0053" w:rsidR="0044218B" w:rsidRPr="0002651D" w:rsidRDefault="001142FA" w:rsidP="00216884">
            <w:pPr>
              <w:tabs>
                <w:tab w:val="decimal" w:pos="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651D">
              <w:rPr>
                <w:b/>
              </w:rPr>
              <w:t>5.8%</w:t>
            </w:r>
          </w:p>
        </w:tc>
      </w:tr>
      <w:tr w:rsidR="0044218B" w14:paraId="2C26E4CF" w14:textId="77777777" w:rsidTr="0096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366C8C5A" w14:textId="25688C77" w:rsidR="0044218B" w:rsidRDefault="001142FA">
            <w:r>
              <w:t>Met 2 of the requirements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7D511F33" w14:textId="1B5FDCC8" w:rsidR="0044218B" w:rsidRPr="0002651D" w:rsidRDefault="001142FA" w:rsidP="00216884">
            <w:pPr>
              <w:tabs>
                <w:tab w:val="decimal" w:pos="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651D">
              <w:rPr>
                <w:b/>
              </w:rPr>
              <w:t>8.1%</w:t>
            </w:r>
          </w:p>
        </w:tc>
      </w:tr>
      <w:tr w:rsidR="0044218B" w14:paraId="5A7AA27E" w14:textId="77777777" w:rsidTr="00026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24A7A6" w14:textId="3AA5461E" w:rsidR="0044218B" w:rsidRDefault="001142FA">
            <w:r>
              <w:t>Met 3 of the requirements</w:t>
            </w:r>
          </w:p>
        </w:tc>
        <w:tc>
          <w:tcPr>
            <w:tcW w:w="4675" w:type="dxa"/>
          </w:tcPr>
          <w:p w14:paraId="78406BF6" w14:textId="1A997108" w:rsidR="0044218B" w:rsidRPr="0002651D" w:rsidRDefault="001142FA" w:rsidP="00216884">
            <w:pPr>
              <w:tabs>
                <w:tab w:val="decimal" w:pos="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651D">
              <w:rPr>
                <w:b/>
              </w:rPr>
              <w:t>31.4%</w:t>
            </w:r>
          </w:p>
        </w:tc>
      </w:tr>
      <w:tr w:rsidR="0044218B" w14:paraId="34C45DC8" w14:textId="77777777" w:rsidTr="00964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EEAF6" w:themeFill="accent5" w:themeFillTint="33"/>
          </w:tcPr>
          <w:p w14:paraId="2DB8ABCB" w14:textId="6A229BA8" w:rsidR="0044218B" w:rsidRDefault="001142FA">
            <w:r>
              <w:t>Met 4 of the requirements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0A3536E" w14:textId="28C00B90" w:rsidR="0044218B" w:rsidRPr="0002651D" w:rsidRDefault="001142FA" w:rsidP="00216884">
            <w:pPr>
              <w:tabs>
                <w:tab w:val="decimal" w:pos="2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651D">
              <w:rPr>
                <w:b/>
              </w:rPr>
              <w:t>20.9%</w:t>
            </w:r>
          </w:p>
        </w:tc>
      </w:tr>
      <w:tr w:rsidR="001142FA" w14:paraId="7812AE9C" w14:textId="77777777" w:rsidTr="00026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C6B567" w14:textId="1EF8CE0C" w:rsidR="001142FA" w:rsidRDefault="001142FA">
            <w:r>
              <w:t>Met 5 of the requirements</w:t>
            </w:r>
          </w:p>
        </w:tc>
        <w:tc>
          <w:tcPr>
            <w:tcW w:w="4675" w:type="dxa"/>
          </w:tcPr>
          <w:p w14:paraId="1929EA6A" w14:textId="1252490C" w:rsidR="001142FA" w:rsidRPr="0002651D" w:rsidRDefault="001142FA" w:rsidP="00216884">
            <w:pPr>
              <w:tabs>
                <w:tab w:val="decimal" w:pos="28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2651D">
              <w:rPr>
                <w:b/>
              </w:rPr>
              <w:t>31.4%</w:t>
            </w:r>
          </w:p>
        </w:tc>
      </w:tr>
    </w:tbl>
    <w:p w14:paraId="69DB45EC" w14:textId="760FE7D5" w:rsidR="003D5943" w:rsidRPr="00E21259" w:rsidRDefault="003D5943" w:rsidP="00E21259">
      <w:pPr>
        <w:pStyle w:val="Heading3"/>
      </w:pPr>
      <w:r w:rsidRPr="00E21259">
        <w:t xml:space="preserve">Compliance with Title II </w:t>
      </w:r>
      <w:r w:rsidR="00E21259" w:rsidRPr="00E21259">
        <w:t>Administrative Requirements by Size of J</w:t>
      </w:r>
      <w:r w:rsidRPr="00E21259">
        <w:t>urisdiction</w:t>
      </w:r>
    </w:p>
    <w:p w14:paraId="12B9B56C" w14:textId="2340336B" w:rsidR="00BB6622" w:rsidRPr="00E21259" w:rsidRDefault="00E21259" w:rsidP="00E21259">
      <w:r>
        <w:t>Fewer</w:t>
      </w:r>
      <w:r w:rsidR="00311710" w:rsidRPr="00E21259">
        <w:t xml:space="preserve"> than </w:t>
      </w:r>
      <w:r w:rsidR="00FF4F11">
        <w:t xml:space="preserve">half (46%) of the </w:t>
      </w:r>
      <w:r w:rsidR="001142FA" w:rsidRPr="00E21259">
        <w:t xml:space="preserve">respondents were from counties with fewer than 100,000 population. </w:t>
      </w:r>
      <w:r w:rsidR="000E3DD9" w:rsidRPr="00E21259">
        <w:rPr>
          <w:i/>
        </w:rPr>
        <w:t>Figure 2</w:t>
      </w:r>
      <w:r w:rsidR="000E3DD9" w:rsidRPr="00E21259">
        <w:t xml:space="preserve"> indicates compliance with all five of the administrative requirements under Title II of the ADA for Region 3 jurisdictions with populations </w:t>
      </w:r>
      <w:r>
        <w:t>under</w:t>
      </w:r>
      <w:r w:rsidR="000E3DD9" w:rsidRPr="00E21259">
        <w:t xml:space="preserve"> 100,000.</w:t>
      </w:r>
      <w:r w:rsidR="001142FA" w:rsidRPr="00E21259">
        <w:t xml:space="preserve"> </w:t>
      </w:r>
      <w:r w:rsidR="00134306" w:rsidRPr="00E21259">
        <w:t>About 15% of smaller counties reported meeting all five of the ADA Title II requirements, and 5% reported meeting none of the requirements.</w:t>
      </w:r>
    </w:p>
    <w:p w14:paraId="6E04901E" w14:textId="579EBFB4" w:rsidR="00B45593" w:rsidRDefault="001618D5" w:rsidP="00E21259">
      <w:pPr>
        <w:pStyle w:val="TableHeading"/>
      </w:pPr>
      <w:r w:rsidRPr="00BB6622">
        <w:lastRenderedPageBreak/>
        <w:t>Figure</w:t>
      </w:r>
      <w:r w:rsidR="00E21259">
        <w:t xml:space="preserve"> </w:t>
      </w:r>
      <w:r w:rsidRPr="00BB6622">
        <w:t xml:space="preserve">2: Compliance </w:t>
      </w:r>
      <w:r w:rsidR="00E21259">
        <w:t>with Title II Requirements for J</w:t>
      </w:r>
      <w:r w:rsidRPr="00BB6622">
        <w:t>urisdictions &lt; 100K</w:t>
      </w:r>
      <w:r w:rsidR="00614361">
        <w:t xml:space="preserve"> P</w:t>
      </w:r>
      <w:r w:rsidR="00B07334">
        <w:t>opulation</w:t>
      </w:r>
    </w:p>
    <w:p w14:paraId="002D45BF" w14:textId="740AEE2B" w:rsidR="00216884" w:rsidRDefault="00216884" w:rsidP="00216884">
      <w:r>
        <w:rPr>
          <w:noProof/>
        </w:rPr>
        <w:drawing>
          <wp:inline distT="0" distB="0" distL="0" distR="0" wp14:anchorId="625FE4D3" wp14:editId="52D02C55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FF05DA" w14:textId="18F61D38" w:rsidR="001618D5" w:rsidRPr="003D3C50" w:rsidRDefault="003D3C50" w:rsidP="00614361">
      <w:r>
        <w:t xml:space="preserve">About </w:t>
      </w:r>
      <w:r w:rsidR="00BB6622">
        <w:t>54%</w:t>
      </w:r>
      <w:r>
        <w:t xml:space="preserve"> </w:t>
      </w:r>
      <w:r w:rsidR="001618D5" w:rsidRPr="003D3C50">
        <w:t xml:space="preserve">of the respondents were from jurisdictions with more than 100,000 population.  </w:t>
      </w:r>
      <w:r w:rsidR="00134306" w:rsidRPr="003D3C50">
        <w:t>Compliance with Title I</w:t>
      </w:r>
      <w:r>
        <w:t>I</w:t>
      </w:r>
      <w:r w:rsidR="00134306" w:rsidRPr="003D3C50">
        <w:t xml:space="preserve"> ADA requirements were higher for the larger jurisdictions, with about 46% meeting all five of the requirements, and </w:t>
      </w:r>
      <w:r>
        <w:t>0 indicating that they did not meet any of the  requirements.</w:t>
      </w:r>
      <w:r w:rsidR="00134306" w:rsidRPr="003D3C50">
        <w:t xml:space="preserve"> </w:t>
      </w:r>
    </w:p>
    <w:p w14:paraId="2D47AF3D" w14:textId="0FB0EA2A" w:rsidR="001618D5" w:rsidRDefault="001618D5" w:rsidP="00614361">
      <w:pPr>
        <w:pStyle w:val="TableHeading"/>
      </w:pPr>
      <w:r w:rsidRPr="00BB6622">
        <w:t>Figu</w:t>
      </w:r>
      <w:r w:rsidR="00614361">
        <w:t>re 3: Compliance with Title II R</w:t>
      </w:r>
      <w:r w:rsidRPr="00BB6622">
        <w:t xml:space="preserve">equirements </w:t>
      </w:r>
      <w:r w:rsidR="00614361">
        <w:t xml:space="preserve">for Jurisdictions </w:t>
      </w:r>
      <w:r w:rsidRPr="00BB6622">
        <w:t xml:space="preserve">&gt; </w:t>
      </w:r>
      <w:r w:rsidR="00614361">
        <w:t>100K P</w:t>
      </w:r>
      <w:r w:rsidR="003D5943" w:rsidRPr="00BB6622">
        <w:t>opulation</w:t>
      </w:r>
    </w:p>
    <w:p w14:paraId="1113FCEA" w14:textId="2811ED6A" w:rsidR="002F60C4" w:rsidRDefault="002F60C4" w:rsidP="002F60C4">
      <w:r>
        <w:rPr>
          <w:noProof/>
        </w:rPr>
        <w:drawing>
          <wp:inline distT="0" distB="0" distL="0" distR="0" wp14:anchorId="52CDB5BA" wp14:editId="11B19AB2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430883" w14:textId="5FBF4293" w:rsidR="003D3C50" w:rsidRPr="00B45593" w:rsidRDefault="003D3C50" w:rsidP="00614361">
      <w:r w:rsidRPr="00B45593">
        <w:rPr>
          <w:i/>
        </w:rPr>
        <w:lastRenderedPageBreak/>
        <w:t>Figure 4</w:t>
      </w:r>
      <w:r w:rsidRPr="00B45593">
        <w:t xml:space="preserve"> compares compliance with the five ADA requirements by jurisdiction size, illustrating the differences </w:t>
      </w:r>
      <w:r w:rsidR="00FF4F11">
        <w:t>I meeting</w:t>
      </w:r>
      <w:r w:rsidRPr="00B45593">
        <w:t xml:space="preserve"> all five of the requirements by counties with populations </w:t>
      </w:r>
      <w:r w:rsidR="00FF4F11">
        <w:t xml:space="preserve">less or </w:t>
      </w:r>
      <w:r w:rsidRPr="00B45593">
        <w:t>more</w:t>
      </w:r>
      <w:r w:rsidR="00FF4F11">
        <w:t xml:space="preserve"> </w:t>
      </w:r>
      <w:r w:rsidRPr="00B45593">
        <w:t xml:space="preserve">than 100,000.  </w:t>
      </w:r>
    </w:p>
    <w:p w14:paraId="417174BF" w14:textId="0A80AB89" w:rsidR="003D3C50" w:rsidRDefault="00BB6622" w:rsidP="00614361">
      <w:pPr>
        <w:pStyle w:val="TableHeading"/>
      </w:pPr>
      <w:r w:rsidRPr="00BB6622">
        <w:t>Figure 4: Comparison of Compliance by County Siz</w:t>
      </w:r>
      <w:r w:rsidR="00A762E1">
        <w:t>e</w:t>
      </w:r>
    </w:p>
    <w:p w14:paraId="05416497" w14:textId="75B644E4" w:rsidR="0059584B" w:rsidRDefault="0059584B" w:rsidP="0059584B">
      <w:r>
        <w:rPr>
          <w:noProof/>
        </w:rPr>
        <w:drawing>
          <wp:inline distT="0" distB="0" distL="0" distR="0" wp14:anchorId="6C7DDA15" wp14:editId="4C55775D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EF0B1E" w14:textId="3D56DA5A" w:rsidR="00591766" w:rsidRPr="0008336A" w:rsidRDefault="003D3C50" w:rsidP="000D291E">
      <w:pPr>
        <w:pStyle w:val="Heading3"/>
      </w:pPr>
      <w:r w:rsidRPr="0008336A">
        <w:t xml:space="preserve">Addressing </w:t>
      </w:r>
      <w:r w:rsidR="00591766" w:rsidRPr="0008336A">
        <w:t>Title II Component Issues</w:t>
      </w:r>
    </w:p>
    <w:p w14:paraId="4DCF068B" w14:textId="2453428D" w:rsidR="00591766" w:rsidRPr="00031070" w:rsidRDefault="00591766" w:rsidP="000D291E">
      <w:r w:rsidRPr="00031070">
        <w:t>Title II of the ADA addresses four categories of compliance: Structural Accessib</w:t>
      </w:r>
      <w:r w:rsidR="0060047E" w:rsidRPr="00031070">
        <w:t>ility</w:t>
      </w:r>
      <w:r w:rsidRPr="00031070">
        <w:t>, Effective Communication, Reasonable Modifications to Policies/Pr</w:t>
      </w:r>
      <w:r w:rsidR="000D291E">
        <w:t>actices</w:t>
      </w:r>
      <w:r w:rsidRPr="00031070">
        <w:t>, and Non-</w:t>
      </w:r>
      <w:r w:rsidR="000D291E">
        <w:t>D</w:t>
      </w:r>
      <w:r w:rsidRPr="00031070">
        <w:t xml:space="preserve">iscrimination. We asked respondents to identify the frequency of complaints in these four areas, and the degree to which they </w:t>
      </w:r>
      <w:r w:rsidR="003D3C50" w:rsidRPr="00031070">
        <w:t xml:space="preserve">experienced challenges in addressing them. </w:t>
      </w:r>
    </w:p>
    <w:p w14:paraId="230AC0FA" w14:textId="51272B23" w:rsidR="00BB6622" w:rsidRPr="00031070" w:rsidRDefault="00591766" w:rsidP="000D291E">
      <w:r w:rsidRPr="00031070">
        <w:rPr>
          <w:i/>
        </w:rPr>
        <w:t xml:space="preserve">Figure </w:t>
      </w:r>
      <w:r w:rsidR="0046429F" w:rsidRPr="00031070">
        <w:rPr>
          <w:i/>
        </w:rPr>
        <w:t>5</w:t>
      </w:r>
      <w:r w:rsidRPr="00031070">
        <w:t xml:space="preserve"> illustrates the complaints across the four areas by frequency:  (1) never; (2) </w:t>
      </w:r>
      <w:r w:rsidR="0076710A">
        <w:t>a</w:t>
      </w:r>
      <w:r w:rsidRPr="00031070">
        <w:t xml:space="preserve"> few</w:t>
      </w:r>
      <w:r w:rsidR="0076710A">
        <w:t xml:space="preserve"> times a month</w:t>
      </w:r>
      <w:r w:rsidRPr="00031070">
        <w:t>; and (3) numerous</w:t>
      </w:r>
      <w:r w:rsidR="0076710A">
        <w:t xml:space="preserve"> times a month</w:t>
      </w:r>
      <w:r w:rsidRPr="00031070">
        <w:t xml:space="preserve">. </w:t>
      </w:r>
      <w:r w:rsidR="00BB6622" w:rsidRPr="00031070">
        <w:t xml:space="preserve">About 30% of respondents reported receiving at least a few complaints for Accessibility, Effective Communication, and </w:t>
      </w:r>
      <w:r w:rsidR="00FA6442" w:rsidRPr="00031070">
        <w:t xml:space="preserve">Reasonable Modifications. </w:t>
      </w:r>
    </w:p>
    <w:p w14:paraId="475ABE3A" w14:textId="026DFE5E" w:rsidR="00FE14EF" w:rsidRPr="0008336A" w:rsidRDefault="00BB6622" w:rsidP="000D291E">
      <w:pPr>
        <w:pStyle w:val="TableHeading"/>
      </w:pPr>
      <w:r w:rsidRPr="00BB6622">
        <w:lastRenderedPageBreak/>
        <w:t>Figure 5: Frequency of Complaints by Title II Component</w:t>
      </w:r>
      <w:r w:rsidR="00BF48C2" w:rsidRPr="00BB6622">
        <w:tab/>
      </w:r>
    </w:p>
    <w:p w14:paraId="671FC558" w14:textId="2B7A5BF9" w:rsidR="00FE14EF" w:rsidRDefault="004A4888" w:rsidP="00BF48C2">
      <w:pPr>
        <w:tabs>
          <w:tab w:val="left" w:pos="7517"/>
        </w:tabs>
        <w:rPr>
          <w:rFonts w:cs="Times New Roman (Body CS)"/>
          <w:szCs w:val="20"/>
        </w:rPr>
      </w:pPr>
      <w:r w:rsidRPr="004A4888">
        <w:rPr>
          <w:rFonts w:cs="Times New Roman (Body CS)"/>
          <w:noProof/>
          <w:szCs w:val="20"/>
        </w:rPr>
        <w:drawing>
          <wp:inline distT="0" distB="0" distL="0" distR="0" wp14:anchorId="10272BBD" wp14:editId="21758BCE">
            <wp:extent cx="5486400" cy="3200400"/>
            <wp:effectExtent l="0" t="0" r="0" b="0"/>
            <wp:docPr id="10" name="Chart 10" descr="Accessibility: 69.6% never, 26.1% few a month, 4.3% numerous a month; Communication: 67.6% never, 25% few a month, 7.4% numerous a month; Modification: 70% never, 22.9% few a month, 7.1% numerous a month; Non-Discrim.: 89.6% never, 6% few a month, 4.4% numerous a month" title="Frequency of Complain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D68AFD" w14:textId="7ACCD125" w:rsidR="00BB6622" w:rsidRPr="00031070" w:rsidRDefault="00FA6442" w:rsidP="000D291E">
      <w:r w:rsidRPr="00031070">
        <w:t xml:space="preserve">Survey respondents indicated how challenging they </w:t>
      </w:r>
      <w:r w:rsidR="00301298">
        <w:t xml:space="preserve">found </w:t>
      </w:r>
      <w:r w:rsidRPr="00031070">
        <w:t xml:space="preserve">addressing complaints </w:t>
      </w:r>
      <w:r w:rsidR="00301298">
        <w:t xml:space="preserve">to be </w:t>
      </w:r>
      <w:r w:rsidRPr="00031070">
        <w:t>in each</w:t>
      </w:r>
      <w:r w:rsidR="00301298">
        <w:t xml:space="preserve"> of</w:t>
      </w:r>
      <w:r w:rsidRPr="00031070">
        <w:t xml:space="preserve"> the areas, with about 40% of respondents indicating that it was at least somewhat challenging to address complaints regarding Structural Accessibility</w:t>
      </w:r>
      <w:r w:rsidR="000D291E">
        <w:t>.</w:t>
      </w:r>
      <w:r w:rsidRPr="00031070">
        <w:t xml:space="preserve"> </w:t>
      </w:r>
    </w:p>
    <w:p w14:paraId="422BCFB3" w14:textId="3612AF12" w:rsidR="00BB6622" w:rsidRDefault="00FA6442" w:rsidP="000D291E">
      <w:pPr>
        <w:pStyle w:val="TableHeading"/>
      </w:pPr>
      <w:r w:rsidRPr="00FA6442">
        <w:t>Figure 6: Challeng</w:t>
      </w:r>
      <w:r w:rsidR="00311710">
        <w:t>es</w:t>
      </w:r>
      <w:r w:rsidR="000D291E">
        <w:t xml:space="preserve"> in Addressing F</w:t>
      </w:r>
      <w:r w:rsidRPr="00FA6442">
        <w:t xml:space="preserve">our ADA </w:t>
      </w:r>
      <w:r w:rsidR="000D291E">
        <w:t>C</w:t>
      </w:r>
      <w:r w:rsidRPr="00FA6442">
        <w:t xml:space="preserve">omponent </w:t>
      </w:r>
      <w:r w:rsidR="000D291E">
        <w:t>C</w:t>
      </w:r>
      <w:r w:rsidRPr="00FA6442">
        <w:t>omplaints</w:t>
      </w:r>
    </w:p>
    <w:p w14:paraId="05D3211B" w14:textId="727F8C3B" w:rsidR="004A4888" w:rsidRDefault="004A4888" w:rsidP="004A4888">
      <w:r w:rsidRPr="004A4888">
        <w:rPr>
          <w:noProof/>
        </w:rPr>
        <w:drawing>
          <wp:inline distT="0" distB="0" distL="0" distR="0" wp14:anchorId="2233B98F" wp14:editId="56116214">
            <wp:extent cx="5486400" cy="3200400"/>
            <wp:effectExtent l="0" t="0" r="0" b="0"/>
            <wp:docPr id="1" name="Chart 1" descr="Accessibility: 37.2% not at all, 31.4% somewhat, 9.3% very; Communication: 52.3% not at all, 25.6% somewhat, 0% very; Modification: 52.3% not at all, 23.3% somewhat, 2.3% very; Non-Discrim.: 60.5% not at all, 17.4% somewhat, 0% very" title="How Challenging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466402" w14:textId="46BBDB04" w:rsidR="00FA6442" w:rsidRPr="00B45593" w:rsidRDefault="00FA6442" w:rsidP="000D291E">
      <w:pPr>
        <w:pStyle w:val="Heading2"/>
      </w:pPr>
      <w:r w:rsidRPr="00B45593">
        <w:lastRenderedPageBreak/>
        <w:t>Discussion</w:t>
      </w:r>
    </w:p>
    <w:p w14:paraId="047CE454" w14:textId="4A223640" w:rsidR="00031070" w:rsidRPr="00B45593" w:rsidRDefault="00B07334" w:rsidP="000D291E">
      <w:r w:rsidRPr="00B45593">
        <w:t xml:space="preserve">This study was conducted to </w:t>
      </w:r>
      <w:r w:rsidR="00A762E1">
        <w:t xml:space="preserve">assess </w:t>
      </w:r>
      <w:r w:rsidRPr="00B45593">
        <w:t>Title II compliance issues for county level jurisdict</w:t>
      </w:r>
      <w:r w:rsidR="00A762E1">
        <w:t>i</w:t>
      </w:r>
      <w:r w:rsidRPr="00B45593">
        <w:t xml:space="preserve">ons in </w:t>
      </w:r>
      <w:r w:rsidR="000D291E">
        <w:t>f</w:t>
      </w:r>
      <w:r w:rsidRPr="00B45593">
        <w:t xml:space="preserve">ederal Region 3 from the perspective of designated county-level ADA coordinators. Eighty-four unique ADA coordinators responded to the survey. </w:t>
      </w:r>
      <w:r w:rsidR="00B45593" w:rsidRPr="00B45593">
        <w:t>We assessed compliance with five adm</w:t>
      </w:r>
      <w:r w:rsidR="00A762E1">
        <w:t>inistrative</w:t>
      </w:r>
      <w:r w:rsidR="00B45593" w:rsidRPr="00B45593">
        <w:t xml:space="preserve"> requirements in Title II: (1) </w:t>
      </w:r>
      <w:r w:rsidR="002F73BB">
        <w:t>having a designated ADA coordinator; (2) providing notice about the ADA to the public</w:t>
      </w:r>
      <w:r w:rsidR="00B45593" w:rsidRPr="00B45593">
        <w:t xml:space="preserve">; (3) </w:t>
      </w:r>
      <w:r w:rsidR="002F73BB">
        <w:t>having a grievance procedure</w:t>
      </w:r>
      <w:r w:rsidR="00B45593" w:rsidRPr="00B45593">
        <w:t xml:space="preserve">; (4) </w:t>
      </w:r>
      <w:r w:rsidR="002F73BB">
        <w:t>conducting a self-evaluation of programs</w:t>
      </w:r>
      <w:r w:rsidR="00B45593" w:rsidRPr="00B45593">
        <w:t xml:space="preserve">; and (5) </w:t>
      </w:r>
      <w:r w:rsidR="002F73BB">
        <w:t>having a transition plan</w:t>
      </w:r>
      <w:r w:rsidR="00B45593" w:rsidRPr="00B45593">
        <w:t xml:space="preserve">. Across all counties, having an ADA coordinator was the most highly rated administrative component, followed by having a written grievance procedure and a notification procedure. In general, larger counties (populations </w:t>
      </w:r>
      <w:r w:rsidR="000D1C3C">
        <w:t>greater than</w:t>
      </w:r>
      <w:r w:rsidR="00B45593" w:rsidRPr="00B45593">
        <w:t xml:space="preserve"> 100,000) had higher rates of compliance across all five administrative requirements, compared to small</w:t>
      </w:r>
      <w:r w:rsidR="000D1C3C">
        <w:t>er</w:t>
      </w:r>
      <w:r w:rsidR="00B45593" w:rsidRPr="00B45593">
        <w:t xml:space="preserve"> population counties. Overall, respondents indicated low levels of complaints or grievances filed under Title II, with complaints regarding </w:t>
      </w:r>
      <w:r w:rsidR="00A762E1">
        <w:t>E</w:t>
      </w:r>
      <w:r w:rsidR="00B45593" w:rsidRPr="00B45593">
        <w:t xml:space="preserve">ffective </w:t>
      </w:r>
      <w:r w:rsidR="00A762E1">
        <w:t>C</w:t>
      </w:r>
      <w:r w:rsidR="00B45593" w:rsidRPr="00B45593">
        <w:t xml:space="preserve">ommunication and </w:t>
      </w:r>
      <w:r w:rsidR="00A762E1">
        <w:t>R</w:t>
      </w:r>
      <w:r w:rsidR="00B45593" w:rsidRPr="00B45593">
        <w:t xml:space="preserve">easonable </w:t>
      </w:r>
      <w:r w:rsidR="00A762E1">
        <w:t>M</w:t>
      </w:r>
      <w:r w:rsidR="00B45593" w:rsidRPr="00B45593">
        <w:t>odif</w:t>
      </w:r>
      <w:r w:rsidR="00A762E1">
        <w:t>ications</w:t>
      </w:r>
      <w:r w:rsidR="00B45593" w:rsidRPr="00B45593">
        <w:t xml:space="preserve"> </w:t>
      </w:r>
      <w:r w:rsidR="004B2C1B">
        <w:t xml:space="preserve">identified more often as </w:t>
      </w:r>
      <w:r w:rsidR="00B45593" w:rsidRPr="00B45593">
        <w:t>frequently filed. Based on the results</w:t>
      </w:r>
      <w:r w:rsidR="00A762E1">
        <w:t xml:space="preserve"> or this exploratory study</w:t>
      </w:r>
      <w:r w:rsidR="00B45593" w:rsidRPr="00B45593">
        <w:t xml:space="preserve">, it appears that smaller counties in Region 3 located in rural areas could benefit from enhanced ADA Title II outreach around </w:t>
      </w:r>
      <w:r w:rsidR="00A762E1">
        <w:t xml:space="preserve">Title II </w:t>
      </w:r>
      <w:r w:rsidR="00B45593" w:rsidRPr="00B45593">
        <w:t xml:space="preserve">administrative requirements and compliance. </w:t>
      </w:r>
    </w:p>
    <w:sectPr w:rsidR="00031070" w:rsidRPr="00B45593" w:rsidSect="00CE272A">
      <w:footerReference w:type="even" r:id="rId13"/>
      <w:footerReference w:type="defaul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2A6C" w14:textId="77777777" w:rsidR="009D2BE9" w:rsidRDefault="009D2BE9" w:rsidP="00BB6622">
      <w:r>
        <w:separator/>
      </w:r>
    </w:p>
  </w:endnote>
  <w:endnote w:type="continuationSeparator" w:id="0">
    <w:p w14:paraId="1FBF44BC" w14:textId="77777777" w:rsidR="009D2BE9" w:rsidRDefault="009D2BE9" w:rsidP="00BB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119326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58AD2" w14:textId="0DCDB4DB" w:rsidR="00311710" w:rsidRDefault="00311710" w:rsidP="00134F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AA5BF" w14:textId="77777777" w:rsidR="00311710" w:rsidRDefault="00311710" w:rsidP="003117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08B7" w14:textId="709945DA" w:rsidR="00311710" w:rsidRDefault="00E95E3D" w:rsidP="00E95E3D">
    <w:pPr>
      <w:pStyle w:val="Footer"/>
    </w:pPr>
    <w:r>
      <w:t>TransCen, Inc.</w:t>
    </w:r>
    <w:r>
      <w:ptab w:relativeTo="margin" w:alignment="center" w:leader="none"/>
    </w:r>
    <w:r>
      <w:t>Mid-Atlantic ADA Center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677D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677D9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D305" w14:textId="77777777" w:rsidR="009D2BE9" w:rsidRDefault="009D2BE9" w:rsidP="00BB6622">
      <w:r>
        <w:separator/>
      </w:r>
    </w:p>
  </w:footnote>
  <w:footnote w:type="continuationSeparator" w:id="0">
    <w:p w14:paraId="3AD522C5" w14:textId="77777777" w:rsidR="009D2BE9" w:rsidRDefault="009D2BE9" w:rsidP="00BB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0906"/>
    <w:multiLevelType w:val="hybridMultilevel"/>
    <w:tmpl w:val="9532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04E3"/>
    <w:multiLevelType w:val="hybridMultilevel"/>
    <w:tmpl w:val="D904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D9"/>
    <w:rsid w:val="0002651D"/>
    <w:rsid w:val="00031070"/>
    <w:rsid w:val="0008336A"/>
    <w:rsid w:val="000D1C3C"/>
    <w:rsid w:val="000D291E"/>
    <w:rsid w:val="000E3DD9"/>
    <w:rsid w:val="001101EE"/>
    <w:rsid w:val="001142FA"/>
    <w:rsid w:val="00134306"/>
    <w:rsid w:val="00134D57"/>
    <w:rsid w:val="001618D5"/>
    <w:rsid w:val="00180697"/>
    <w:rsid w:val="001F472A"/>
    <w:rsid w:val="00216884"/>
    <w:rsid w:val="00246C3D"/>
    <w:rsid w:val="002D0D69"/>
    <w:rsid w:val="002F535B"/>
    <w:rsid w:val="002F60C4"/>
    <w:rsid w:val="002F73BB"/>
    <w:rsid w:val="00301298"/>
    <w:rsid w:val="00311710"/>
    <w:rsid w:val="00331C99"/>
    <w:rsid w:val="00333BF9"/>
    <w:rsid w:val="003D3C50"/>
    <w:rsid w:val="003D5943"/>
    <w:rsid w:val="004274EC"/>
    <w:rsid w:val="0044218B"/>
    <w:rsid w:val="0046429F"/>
    <w:rsid w:val="00476073"/>
    <w:rsid w:val="00484A5A"/>
    <w:rsid w:val="004A4888"/>
    <w:rsid w:val="004B2C1B"/>
    <w:rsid w:val="004F09A8"/>
    <w:rsid w:val="004F5699"/>
    <w:rsid w:val="00501EAB"/>
    <w:rsid w:val="00574A8B"/>
    <w:rsid w:val="00591766"/>
    <w:rsid w:val="0059584B"/>
    <w:rsid w:val="005F2140"/>
    <w:rsid w:val="0060047E"/>
    <w:rsid w:val="00614361"/>
    <w:rsid w:val="0069475C"/>
    <w:rsid w:val="007032F8"/>
    <w:rsid w:val="00716F6C"/>
    <w:rsid w:val="0076710A"/>
    <w:rsid w:val="007677D9"/>
    <w:rsid w:val="008152D9"/>
    <w:rsid w:val="00866FB1"/>
    <w:rsid w:val="008D0FA0"/>
    <w:rsid w:val="00924E0F"/>
    <w:rsid w:val="00964A6D"/>
    <w:rsid w:val="009D2BE9"/>
    <w:rsid w:val="00A34F3D"/>
    <w:rsid w:val="00A508C8"/>
    <w:rsid w:val="00A57B45"/>
    <w:rsid w:val="00A762E1"/>
    <w:rsid w:val="00A90585"/>
    <w:rsid w:val="00AA5359"/>
    <w:rsid w:val="00AB658A"/>
    <w:rsid w:val="00B07334"/>
    <w:rsid w:val="00B17978"/>
    <w:rsid w:val="00B45593"/>
    <w:rsid w:val="00BA49B0"/>
    <w:rsid w:val="00BB6622"/>
    <w:rsid w:val="00BC1BDD"/>
    <w:rsid w:val="00BC3656"/>
    <w:rsid w:val="00BF48C2"/>
    <w:rsid w:val="00C01FF4"/>
    <w:rsid w:val="00C12358"/>
    <w:rsid w:val="00C338D3"/>
    <w:rsid w:val="00C47EAC"/>
    <w:rsid w:val="00C71A28"/>
    <w:rsid w:val="00CE272A"/>
    <w:rsid w:val="00CF09E8"/>
    <w:rsid w:val="00D06251"/>
    <w:rsid w:val="00D30A74"/>
    <w:rsid w:val="00DF0A71"/>
    <w:rsid w:val="00E048E1"/>
    <w:rsid w:val="00E21259"/>
    <w:rsid w:val="00E32601"/>
    <w:rsid w:val="00E82FC2"/>
    <w:rsid w:val="00E95E3D"/>
    <w:rsid w:val="00EF0061"/>
    <w:rsid w:val="00F01BB6"/>
    <w:rsid w:val="00F151D9"/>
    <w:rsid w:val="00F67335"/>
    <w:rsid w:val="00FA6442"/>
    <w:rsid w:val="00FA7494"/>
    <w:rsid w:val="00FB3247"/>
    <w:rsid w:val="00FE017E"/>
    <w:rsid w:val="00FE14E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172"/>
  <w15:chartTrackingRefBased/>
  <w15:docId w15:val="{2899DEBF-EFA0-5D43-BB7E-AF24ED5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60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52D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72A"/>
    <w:pPr>
      <w:keepNext/>
      <w:keepLines/>
      <w:spacing w:after="120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72A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22"/>
  </w:style>
  <w:style w:type="paragraph" w:styleId="Footer">
    <w:name w:val="footer"/>
    <w:basedOn w:val="Normal"/>
    <w:link w:val="FooterChar"/>
    <w:uiPriority w:val="99"/>
    <w:unhideWhenUsed/>
    <w:rsid w:val="00BB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22"/>
  </w:style>
  <w:style w:type="character" w:styleId="CommentReference">
    <w:name w:val="annotation reference"/>
    <w:basedOn w:val="DefaultParagraphFont"/>
    <w:uiPriority w:val="99"/>
    <w:semiHidden/>
    <w:unhideWhenUsed/>
    <w:rsid w:val="0008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6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11710"/>
  </w:style>
  <w:style w:type="character" w:customStyle="1" w:styleId="Heading1Char">
    <w:name w:val="Heading 1 Char"/>
    <w:basedOn w:val="DefaultParagraphFont"/>
    <w:link w:val="Heading1"/>
    <w:uiPriority w:val="9"/>
    <w:rsid w:val="00815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72A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72A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customStyle="1" w:styleId="TableHeading">
    <w:name w:val="Table Heading"/>
    <w:basedOn w:val="Heading3"/>
    <w:qFormat/>
    <w:rsid w:val="008152D9"/>
    <w:rPr>
      <w:rFonts w:ascii="Times New Roman" w:hAnsi="Times New Roman"/>
      <w:i/>
      <w:color w:val="1F3864" w:themeColor="accent1" w:themeShade="80"/>
    </w:rPr>
  </w:style>
  <w:style w:type="table" w:styleId="GridTable4-Accent1">
    <w:name w:val="Grid Table 4 Accent 1"/>
    <w:basedOn w:val="TableNormal"/>
    <w:uiPriority w:val="49"/>
    <w:rsid w:val="0002651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Respondents Indicating Compliance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ADA Coordinator</c:v>
                </c:pt>
                <c:pt idx="1">
                  <c:v>Public Notice</c:v>
                </c:pt>
                <c:pt idx="2">
                  <c:v>Grievance Procedure</c:v>
                </c:pt>
                <c:pt idx="3">
                  <c:v>Self-Eval</c:v>
                </c:pt>
                <c:pt idx="4">
                  <c:v>Transition Plan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94.1</c:v>
                </c:pt>
                <c:pt idx="1">
                  <c:v>86</c:v>
                </c:pt>
                <c:pt idx="2">
                  <c:v>86.1</c:v>
                </c:pt>
                <c:pt idx="3">
                  <c:v>53.1</c:v>
                </c:pt>
                <c:pt idx="4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DE-47D5-B1FE-33897DF86A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6233663"/>
        <c:axId val="916233247"/>
      </c:barChart>
      <c:catAx>
        <c:axId val="91623366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6233247"/>
        <c:crosses val="autoZero"/>
        <c:auto val="1"/>
        <c:lblAlgn val="ctr"/>
        <c:lblOffset val="100"/>
        <c:noMultiLvlLbl val="0"/>
      </c:catAx>
      <c:valAx>
        <c:axId val="9162332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6233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</a:t>
            </a:r>
            <a:r>
              <a:rPr lang="en-US" baseline="0"/>
              <a:t> 2: Number of Requirements Met, &lt; 100K Population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7.5</c:v>
                </c:pt>
                <c:pt idx="2">
                  <c:v>15</c:v>
                </c:pt>
                <c:pt idx="3">
                  <c:v>35</c:v>
                </c:pt>
                <c:pt idx="4">
                  <c:v>22.5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51-47AD-A7F3-EBEDA6342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9127888"/>
        <c:axId val="961852448"/>
      </c:barChart>
      <c:catAx>
        <c:axId val="85912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1852448"/>
        <c:crosses val="autoZero"/>
        <c:auto val="1"/>
        <c:lblAlgn val="ctr"/>
        <c:lblOffset val="100"/>
        <c:noMultiLvlLbl val="0"/>
      </c:catAx>
      <c:valAx>
        <c:axId val="9618524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91278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</a:t>
            </a:r>
            <a:r>
              <a:rPr lang="en-US" baseline="0"/>
              <a:t> 3: Number of Requirements Met, &gt; 100K Population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4.3</c:v>
                </c:pt>
                <c:pt idx="2">
                  <c:v>2.2000000000000002</c:v>
                </c:pt>
                <c:pt idx="3">
                  <c:v>28.3</c:v>
                </c:pt>
                <c:pt idx="4">
                  <c:v>19.600000000000001</c:v>
                </c:pt>
                <c:pt idx="5">
                  <c:v>45.7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D-49F8-A00C-60E326BA1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9127888"/>
        <c:axId val="961852448"/>
      </c:barChart>
      <c:catAx>
        <c:axId val="85912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1852448"/>
        <c:crosses val="autoZero"/>
        <c:auto val="1"/>
        <c:lblAlgn val="ctr"/>
        <c:lblOffset val="100"/>
        <c:noMultiLvlLbl val="0"/>
      </c:catAx>
      <c:valAx>
        <c:axId val="9618524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91278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Figure 4: Comparison of Requirements Met by Smaller and Larger</a:t>
            </a:r>
            <a:r>
              <a:rPr lang="en-US" sz="1100" baseline="0"/>
              <a:t> Counties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Population &lt;100K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7.5</c:v>
                </c:pt>
                <c:pt idx="2">
                  <c:v>15</c:v>
                </c:pt>
                <c:pt idx="3">
                  <c:v>35</c:v>
                </c:pt>
                <c:pt idx="4">
                  <c:v>22.5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4C-4EF3-B931-D0D0278041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Population &gt;100K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4.3</c:v>
                </c:pt>
                <c:pt idx="2">
                  <c:v>2.2000000000000002</c:v>
                </c:pt>
                <c:pt idx="3">
                  <c:v>28.3</c:v>
                </c:pt>
                <c:pt idx="4">
                  <c:v>19.600000000000001</c:v>
                </c:pt>
                <c:pt idx="5">
                  <c:v>45.7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4C-4EF3-B931-D0D027804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0680288"/>
        <c:axId val="1090687360"/>
      </c:barChart>
      <c:catAx>
        <c:axId val="10906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0687360"/>
        <c:crosses val="autoZero"/>
        <c:auto val="1"/>
        <c:lblAlgn val="ctr"/>
        <c:lblOffset val="100"/>
        <c:noMultiLvlLbl val="0"/>
      </c:catAx>
      <c:valAx>
        <c:axId val="10906873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06802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Figure 5: Frequency of Complaints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</c:v>
                </c:pt>
                <c:pt idx="1">
                  <c:v>Communication</c:v>
                </c:pt>
                <c:pt idx="2">
                  <c:v>Modification</c:v>
                </c:pt>
                <c:pt idx="3">
                  <c:v>Non-Discrim.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69.599999999999994</c:v>
                </c:pt>
                <c:pt idx="1">
                  <c:v>67.599999999999994</c:v>
                </c:pt>
                <c:pt idx="2">
                  <c:v>70</c:v>
                </c:pt>
                <c:pt idx="3">
                  <c:v>89.6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D-47E4-AD3E-0EACD197FBD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Few a Month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</c:v>
                </c:pt>
                <c:pt idx="1">
                  <c:v>Communication</c:v>
                </c:pt>
                <c:pt idx="2">
                  <c:v>Modification</c:v>
                </c:pt>
                <c:pt idx="3">
                  <c:v>Non-Discrim.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26.1</c:v>
                </c:pt>
                <c:pt idx="1">
                  <c:v>25</c:v>
                </c:pt>
                <c:pt idx="2">
                  <c:v>22.9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D-47E4-AD3E-0EACD197FBD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Numerous a Month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</c:v>
                </c:pt>
                <c:pt idx="1">
                  <c:v>Communication</c:v>
                </c:pt>
                <c:pt idx="2">
                  <c:v>Modification</c:v>
                </c:pt>
                <c:pt idx="3">
                  <c:v>Non-Discrim.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4.3</c:v>
                </c:pt>
                <c:pt idx="1">
                  <c:v>7.4</c:v>
                </c:pt>
                <c:pt idx="2">
                  <c:v>7.1</c:v>
                </c:pt>
                <c:pt idx="3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9D-47E4-AD3E-0EACD197F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2969696"/>
        <c:axId val="2122972608"/>
      </c:barChart>
      <c:catAx>
        <c:axId val="212296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972608"/>
        <c:crosses val="autoZero"/>
        <c:auto val="1"/>
        <c:lblAlgn val="ctr"/>
        <c:lblOffset val="100"/>
        <c:noMultiLvlLbl val="0"/>
      </c:catAx>
      <c:valAx>
        <c:axId val="21229726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96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107032576810253E-2"/>
          <c:y val="0.91155913810427602"/>
          <c:w val="0.94688378107148374"/>
          <c:h val="8.7122510170337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Figure 6: How Challenging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</c:v>
                </c:pt>
                <c:pt idx="1">
                  <c:v>Communication</c:v>
                </c:pt>
                <c:pt idx="2">
                  <c:v>Modification</c:v>
                </c:pt>
                <c:pt idx="3">
                  <c:v>Non-Discrim.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52.3</c:v>
                </c:pt>
                <c:pt idx="2">
                  <c:v>52.3</c:v>
                </c:pt>
                <c:pt idx="3">
                  <c:v>60.5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F5-4178-BD65-9ADA38B5C8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Somewhat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</c:v>
                </c:pt>
                <c:pt idx="1">
                  <c:v>Communication</c:v>
                </c:pt>
                <c:pt idx="2">
                  <c:v>Modification</c:v>
                </c:pt>
                <c:pt idx="3">
                  <c:v>Non-Discrim.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31.4</c:v>
                </c:pt>
                <c:pt idx="1">
                  <c:v>25.6</c:v>
                </c:pt>
                <c:pt idx="2">
                  <c:v>23.3</c:v>
                </c:pt>
                <c:pt idx="3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F5-4178-BD65-9ADA38B5C8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Very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Accessibility</c:v>
                </c:pt>
                <c:pt idx="1">
                  <c:v>Communication</c:v>
                </c:pt>
                <c:pt idx="2">
                  <c:v>Modification</c:v>
                </c:pt>
                <c:pt idx="3">
                  <c:v>Non-Discrim.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0</c:v>
                </c:pt>
                <c:pt idx="2">
                  <c:v>2.2999999999999998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F5-4178-BD65-9ADA38B5C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2969696"/>
        <c:axId val="2122972608"/>
      </c:barChart>
      <c:catAx>
        <c:axId val="212296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972608"/>
        <c:crosses val="autoZero"/>
        <c:auto val="1"/>
        <c:lblAlgn val="ctr"/>
        <c:lblOffset val="100"/>
        <c:noMultiLvlLbl val="0"/>
      </c:catAx>
      <c:valAx>
        <c:axId val="21229726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296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107032576810253E-2"/>
          <c:y val="0.91155913810427602"/>
          <c:w val="0.94688378107148374"/>
          <c:h val="8.7122510170337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Title II Survey Report</dc:title>
  <dc:subject/>
  <dc:creator>Microsoft Office User</dc:creator>
  <cp:keywords/>
  <dc:description/>
  <cp:lastModifiedBy>Nancy Horton</cp:lastModifiedBy>
  <cp:revision>22</cp:revision>
  <cp:lastPrinted>2021-12-13T13:32:00Z</cp:lastPrinted>
  <dcterms:created xsi:type="dcterms:W3CDTF">2021-11-30T10:48:00Z</dcterms:created>
  <dcterms:modified xsi:type="dcterms:W3CDTF">2021-12-13T13:45:00Z</dcterms:modified>
</cp:coreProperties>
</file>